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A4F" w:rsidRDefault="00056A4F" w:rsidP="00056A4F">
      <w:pPr>
        <w:rPr>
          <w:rFonts w:ascii="Times New Roman" w:hAnsi="Times New Roman"/>
          <w:sz w:val="22"/>
          <w:u w:val="single"/>
        </w:rPr>
      </w:pPr>
      <w:r>
        <w:rPr>
          <w:rFonts w:ascii="Times New Roman" w:hAnsi="Times New Roman"/>
          <w:sz w:val="22"/>
          <w:u w:val="single"/>
        </w:rPr>
        <w:t>Summarized</w:t>
      </w:r>
    </w:p>
    <w:p w:rsidR="00CF0240" w:rsidRDefault="00056A4F" w:rsidP="00CF0240">
      <w:pPr>
        <w:spacing w:after="120"/>
        <w:rPr>
          <w:rFonts w:ascii="Times New Roman" w:hAnsi="Times New Roman"/>
          <w:color w:val="000090"/>
          <w:sz w:val="22"/>
        </w:rPr>
      </w:pPr>
      <w:r w:rsidRPr="00CF0240">
        <w:rPr>
          <w:rFonts w:ascii="Times New Roman" w:hAnsi="Times New Roman"/>
          <w:b/>
          <w:color w:val="000090"/>
          <w:sz w:val="22"/>
        </w:rPr>
        <w:t xml:space="preserve">G. </w:t>
      </w:r>
      <w:proofErr w:type="spellStart"/>
      <w:r w:rsidRPr="00CF0240">
        <w:rPr>
          <w:rFonts w:ascii="Times New Roman" w:hAnsi="Times New Roman"/>
          <w:b/>
          <w:color w:val="000090"/>
          <w:sz w:val="22"/>
        </w:rPr>
        <w:t>Skogstad</w:t>
      </w:r>
      <w:proofErr w:type="spellEnd"/>
      <w:r w:rsidR="00CF0240" w:rsidRPr="00CF0240">
        <w:rPr>
          <w:rFonts w:ascii="Times New Roman" w:hAnsi="Times New Roman"/>
          <w:b/>
          <w:color w:val="000090"/>
          <w:sz w:val="22"/>
        </w:rPr>
        <w:t xml:space="preserve"> (2008):</w:t>
      </w:r>
      <w:r w:rsidR="00CF0240">
        <w:rPr>
          <w:rFonts w:ascii="Times New Roman" w:hAnsi="Times New Roman"/>
          <w:color w:val="000090"/>
          <w:sz w:val="22"/>
        </w:rPr>
        <w:t xml:space="preserve"> </w:t>
      </w:r>
      <w:r>
        <w:rPr>
          <w:rFonts w:ascii="Times New Roman" w:hAnsi="Times New Roman"/>
          <w:color w:val="000090"/>
          <w:sz w:val="22"/>
        </w:rPr>
        <w:t>Policy Networks and Policy Communities: Conceptualizing State-Societal Relationships in the Policy Process</w:t>
      </w:r>
    </w:p>
    <w:p w:rsidR="00CF0240" w:rsidRDefault="00CF0240" w:rsidP="00CF0240">
      <w:pPr>
        <w:pStyle w:val="FreeForm"/>
        <w:numPr>
          <w:ilvl w:val="0"/>
          <w:numId w:val="12"/>
        </w:numPr>
        <w:rPr>
          <w:rFonts w:ascii="Times New Roman" w:hAnsi="Times New Roman"/>
          <w:sz w:val="22"/>
        </w:rPr>
      </w:pPr>
      <w:r w:rsidRPr="00CF0240">
        <w:rPr>
          <w:rFonts w:ascii="Times New Roman" w:hAnsi="Times New Roman"/>
          <w:sz w:val="22"/>
          <w:u w:val="single"/>
        </w:rPr>
        <w:t>Thesis</w:t>
      </w:r>
      <w:r w:rsidRPr="00CF0240">
        <w:rPr>
          <w:rFonts w:ascii="Times New Roman" w:hAnsi="Times New Roman"/>
          <w:sz w:val="22"/>
        </w:rPr>
        <w:t>:</w:t>
      </w:r>
      <w:r w:rsidRPr="00AD3A3A">
        <w:rPr>
          <w:rFonts w:ascii="Times New Roman" w:hAnsi="Times New Roman"/>
          <w:b/>
          <w:sz w:val="22"/>
        </w:rPr>
        <w:t xml:space="preserve"> </w:t>
      </w:r>
      <w:proofErr w:type="spellStart"/>
      <w:r w:rsidRPr="00AD3A3A">
        <w:rPr>
          <w:rFonts w:ascii="Times New Roman" w:hAnsi="Times New Roman"/>
          <w:sz w:val="22"/>
        </w:rPr>
        <w:t>Skogstad</w:t>
      </w:r>
      <w:proofErr w:type="spellEnd"/>
      <w:r w:rsidRPr="00AD3A3A">
        <w:rPr>
          <w:rFonts w:ascii="Times New Roman" w:hAnsi="Times New Roman"/>
          <w:sz w:val="22"/>
        </w:rPr>
        <w:t xml:space="preserve"> argues that Canadian scholars have played a significant role in contributing to the analytical popularity of the policy community/policy network concepts among students of public policy and contemporary governance. They have been both intellectual “</w:t>
      </w:r>
      <w:r>
        <w:rPr>
          <w:rFonts w:ascii="Times New Roman" w:hAnsi="Times New Roman"/>
          <w:sz w:val="22"/>
        </w:rPr>
        <w:t>borrowers” as well as “givers.”</w:t>
      </w:r>
    </w:p>
    <w:p w:rsidR="00CF0240" w:rsidRDefault="00CF0240" w:rsidP="00CF0240">
      <w:pPr>
        <w:pStyle w:val="FreeForm"/>
        <w:ind w:left="720"/>
        <w:rPr>
          <w:rFonts w:ascii="Times New Roman" w:hAnsi="Times New Roman"/>
          <w:sz w:val="22"/>
        </w:rPr>
      </w:pPr>
    </w:p>
    <w:p w:rsidR="00CF0240" w:rsidRDefault="00CF0240" w:rsidP="00CF0240">
      <w:pPr>
        <w:pStyle w:val="FreeForm"/>
        <w:numPr>
          <w:ilvl w:val="0"/>
          <w:numId w:val="12"/>
        </w:numPr>
        <w:rPr>
          <w:rFonts w:ascii="Times New Roman" w:hAnsi="Times New Roman"/>
          <w:sz w:val="22"/>
        </w:rPr>
      </w:pPr>
      <w:r w:rsidRPr="00CF0240">
        <w:rPr>
          <w:rFonts w:ascii="Times New Roman" w:hAnsi="Times New Roman"/>
          <w:sz w:val="22"/>
        </w:rPr>
        <w:t>There are several approaches to PC/PN:</w:t>
      </w:r>
    </w:p>
    <w:p w:rsidR="00CF0240" w:rsidRDefault="00CF0240" w:rsidP="00CF0240">
      <w:pPr>
        <w:pStyle w:val="FreeForm"/>
        <w:numPr>
          <w:ilvl w:val="1"/>
          <w:numId w:val="12"/>
        </w:numPr>
        <w:rPr>
          <w:rFonts w:ascii="Times New Roman" w:hAnsi="Times New Roman"/>
          <w:sz w:val="22"/>
        </w:rPr>
      </w:pPr>
      <w:r w:rsidRPr="00CF0240">
        <w:rPr>
          <w:rFonts w:ascii="Times New Roman" w:hAnsi="Times New Roman"/>
          <w:sz w:val="22"/>
        </w:rPr>
        <w:t xml:space="preserve">Networks as </w:t>
      </w:r>
      <w:r w:rsidRPr="00CF0240">
        <w:rPr>
          <w:rFonts w:ascii="Times New Roman" w:hAnsi="Times New Roman"/>
          <w:i/>
          <w:sz w:val="22"/>
        </w:rPr>
        <w:t>interpersonal</w:t>
      </w:r>
      <w:r w:rsidRPr="00CF0240">
        <w:rPr>
          <w:rFonts w:ascii="Times New Roman" w:hAnsi="Times New Roman"/>
          <w:sz w:val="22"/>
        </w:rPr>
        <w:t xml:space="preserve"> relationships.</w:t>
      </w:r>
    </w:p>
    <w:p w:rsidR="00CF0240" w:rsidRDefault="00CF0240" w:rsidP="00CF0240">
      <w:pPr>
        <w:pStyle w:val="FreeForm"/>
        <w:numPr>
          <w:ilvl w:val="1"/>
          <w:numId w:val="12"/>
        </w:numPr>
        <w:rPr>
          <w:rFonts w:ascii="Times New Roman" w:hAnsi="Times New Roman"/>
          <w:sz w:val="22"/>
        </w:rPr>
      </w:pPr>
      <w:r w:rsidRPr="00CF0240">
        <w:rPr>
          <w:rFonts w:ascii="Times New Roman" w:hAnsi="Times New Roman"/>
          <w:sz w:val="22"/>
        </w:rPr>
        <w:t xml:space="preserve">Networks as </w:t>
      </w:r>
      <w:r w:rsidRPr="00CF0240">
        <w:rPr>
          <w:rFonts w:ascii="Times New Roman" w:hAnsi="Times New Roman"/>
          <w:i/>
          <w:sz w:val="22"/>
        </w:rPr>
        <w:t>structural linkages</w:t>
      </w:r>
      <w:r w:rsidRPr="00CF0240">
        <w:rPr>
          <w:rFonts w:ascii="Times New Roman" w:hAnsi="Times New Roman"/>
          <w:sz w:val="22"/>
        </w:rPr>
        <w:t xml:space="preserve"> between corporate public and private actors.</w:t>
      </w:r>
    </w:p>
    <w:p w:rsidR="00CF0240" w:rsidRDefault="00CF0240" w:rsidP="00CF0240">
      <w:pPr>
        <w:pStyle w:val="FreeForm"/>
        <w:numPr>
          <w:ilvl w:val="2"/>
          <w:numId w:val="12"/>
        </w:numPr>
        <w:rPr>
          <w:rFonts w:ascii="Times New Roman" w:hAnsi="Times New Roman"/>
          <w:sz w:val="22"/>
        </w:rPr>
      </w:pPr>
      <w:r w:rsidRPr="00CF0240">
        <w:rPr>
          <w:rFonts w:ascii="Times New Roman" w:hAnsi="Times New Roman"/>
          <w:sz w:val="22"/>
        </w:rPr>
        <w:t xml:space="preserve">Scholars taking each approach utilize both quantitative and qualitative methods. </w:t>
      </w:r>
    </w:p>
    <w:p w:rsidR="00CF0240" w:rsidRDefault="00CF0240" w:rsidP="00CF0240">
      <w:pPr>
        <w:pStyle w:val="FreeForm"/>
        <w:numPr>
          <w:ilvl w:val="2"/>
          <w:numId w:val="12"/>
        </w:numPr>
        <w:rPr>
          <w:rFonts w:ascii="Times New Roman" w:hAnsi="Times New Roman"/>
          <w:sz w:val="22"/>
        </w:rPr>
      </w:pPr>
      <w:r w:rsidRPr="00CF0240">
        <w:rPr>
          <w:rFonts w:ascii="Times New Roman" w:hAnsi="Times New Roman"/>
          <w:sz w:val="22"/>
        </w:rPr>
        <w:t xml:space="preserve">There are differences in their assumptions about the factors that account for behaviour within policy networks; some assume a rational actor, other adhere to </w:t>
      </w:r>
      <w:proofErr w:type="spellStart"/>
      <w:r w:rsidRPr="00CF0240">
        <w:rPr>
          <w:rFonts w:ascii="Times New Roman" w:hAnsi="Times New Roman"/>
          <w:sz w:val="22"/>
        </w:rPr>
        <w:t>institutionalist</w:t>
      </w:r>
      <w:proofErr w:type="spellEnd"/>
      <w:r w:rsidRPr="00CF0240">
        <w:rPr>
          <w:rFonts w:ascii="Times New Roman" w:hAnsi="Times New Roman"/>
          <w:sz w:val="22"/>
        </w:rPr>
        <w:t xml:space="preserve"> assumptions, and still other situate themselves within constructivist approaches. </w:t>
      </w:r>
    </w:p>
    <w:p w:rsidR="00CF0240" w:rsidRDefault="00CF0240" w:rsidP="00CF0240">
      <w:pPr>
        <w:pStyle w:val="FreeForm"/>
        <w:numPr>
          <w:ilvl w:val="0"/>
          <w:numId w:val="12"/>
        </w:numPr>
        <w:rPr>
          <w:rFonts w:ascii="Times New Roman" w:hAnsi="Times New Roman"/>
          <w:sz w:val="22"/>
        </w:rPr>
      </w:pPr>
      <w:r w:rsidRPr="00CF0240">
        <w:rPr>
          <w:rFonts w:ascii="Times New Roman" w:hAnsi="Times New Roman"/>
          <w:sz w:val="22"/>
        </w:rPr>
        <w:t xml:space="preserve">In Canada, the </w:t>
      </w:r>
      <w:proofErr w:type="spellStart"/>
      <w:r w:rsidRPr="00CF0240">
        <w:rPr>
          <w:rFonts w:ascii="Times New Roman" w:hAnsi="Times New Roman"/>
          <w:sz w:val="22"/>
        </w:rPr>
        <w:t>structuralist</w:t>
      </w:r>
      <w:proofErr w:type="spellEnd"/>
      <w:r w:rsidRPr="00CF0240">
        <w:rPr>
          <w:rFonts w:ascii="Times New Roman" w:hAnsi="Times New Roman"/>
          <w:sz w:val="22"/>
        </w:rPr>
        <w:t xml:space="preserve"> approach is dominant.</w:t>
      </w:r>
    </w:p>
    <w:p w:rsidR="00CF0240" w:rsidRDefault="00CF0240" w:rsidP="00CF0240">
      <w:pPr>
        <w:pStyle w:val="FreeForm"/>
        <w:numPr>
          <w:ilvl w:val="1"/>
          <w:numId w:val="12"/>
        </w:numPr>
        <w:rPr>
          <w:rFonts w:ascii="Times New Roman" w:hAnsi="Times New Roman"/>
          <w:sz w:val="22"/>
        </w:rPr>
      </w:pPr>
      <w:r w:rsidRPr="00CF0240">
        <w:rPr>
          <w:rFonts w:ascii="Times New Roman" w:hAnsi="Times New Roman"/>
          <w:sz w:val="22"/>
        </w:rPr>
        <w:t>Policy making within discrete policy fields is characterized by regularized patterns of interaction between state actors and representatives of societal interests. These “structures” constitute the policy process alongside the formal and macro-level decision-making bodies such as Parliament.</w:t>
      </w:r>
    </w:p>
    <w:p w:rsidR="00CF0240" w:rsidRDefault="00CF0240" w:rsidP="00CF0240">
      <w:pPr>
        <w:pStyle w:val="FreeForm"/>
        <w:ind w:left="1440"/>
        <w:rPr>
          <w:rFonts w:ascii="Times New Roman" w:hAnsi="Times New Roman"/>
          <w:sz w:val="22"/>
        </w:rPr>
      </w:pPr>
    </w:p>
    <w:p w:rsidR="00CF0240" w:rsidRPr="00CF0240" w:rsidRDefault="00CF0240" w:rsidP="00CF0240">
      <w:pPr>
        <w:pStyle w:val="FreeForm"/>
        <w:numPr>
          <w:ilvl w:val="0"/>
          <w:numId w:val="12"/>
        </w:numPr>
        <w:rPr>
          <w:rFonts w:ascii="Times New Roman" w:hAnsi="Times New Roman"/>
          <w:sz w:val="22"/>
          <w:u w:val="single"/>
        </w:rPr>
      </w:pPr>
      <w:r w:rsidRPr="00CF0240">
        <w:rPr>
          <w:rFonts w:ascii="Times New Roman" w:hAnsi="Times New Roman"/>
          <w:sz w:val="22"/>
          <w:u w:val="single"/>
        </w:rPr>
        <w:t>Criticisms of PC/PN:</w:t>
      </w:r>
    </w:p>
    <w:p w:rsidR="00CF0240" w:rsidRPr="00AD3A3A" w:rsidRDefault="00CF0240" w:rsidP="00CF0240">
      <w:pPr>
        <w:pStyle w:val="FreeForm"/>
        <w:numPr>
          <w:ilvl w:val="1"/>
          <w:numId w:val="12"/>
        </w:numPr>
        <w:rPr>
          <w:rFonts w:ascii="Times New Roman" w:hAnsi="Times New Roman"/>
          <w:position w:val="-2"/>
          <w:sz w:val="22"/>
        </w:rPr>
      </w:pPr>
      <w:r w:rsidRPr="00AD3A3A">
        <w:rPr>
          <w:rFonts w:ascii="Times New Roman" w:hAnsi="Times New Roman"/>
          <w:sz w:val="22"/>
        </w:rPr>
        <w:t>The concepts of PC/PN add little explanatory power; rather than the feature of the network itself, it is the attributes of actors in policy networks that are consequential for policy making and policy outcomes.</w:t>
      </w:r>
    </w:p>
    <w:p w:rsidR="00CF0240" w:rsidRPr="00AD3A3A" w:rsidRDefault="00CF0240" w:rsidP="00CF0240">
      <w:pPr>
        <w:pStyle w:val="FreeForm"/>
        <w:numPr>
          <w:ilvl w:val="2"/>
          <w:numId w:val="12"/>
        </w:numPr>
        <w:rPr>
          <w:rFonts w:ascii="Times New Roman" w:hAnsi="Times New Roman"/>
          <w:position w:val="-2"/>
          <w:sz w:val="22"/>
        </w:rPr>
      </w:pPr>
      <w:r w:rsidRPr="00AD3A3A">
        <w:rPr>
          <w:rFonts w:ascii="Times New Roman" w:hAnsi="Times New Roman"/>
          <w:sz w:val="22"/>
        </w:rPr>
        <w:t>Canadian scholars have demonstrated the importance of PC/PN in shaping definitions of policy problems, the selection of appropriate solutions, and thus the substance of public policies.</w:t>
      </w:r>
    </w:p>
    <w:p w:rsidR="00CF0240" w:rsidRPr="00AD3A3A" w:rsidRDefault="00CF0240" w:rsidP="00CF0240">
      <w:pPr>
        <w:pStyle w:val="FreeForm"/>
        <w:numPr>
          <w:ilvl w:val="1"/>
          <w:numId w:val="12"/>
        </w:numPr>
        <w:rPr>
          <w:rFonts w:ascii="Times New Roman" w:hAnsi="Times New Roman"/>
          <w:position w:val="-2"/>
          <w:sz w:val="22"/>
        </w:rPr>
      </w:pPr>
      <w:r w:rsidRPr="00AD3A3A">
        <w:rPr>
          <w:rFonts w:ascii="Times New Roman" w:hAnsi="Times New Roman"/>
          <w:sz w:val="22"/>
        </w:rPr>
        <w:t xml:space="preserve">The concepts of PC/PN are static, capturing a patterned relationship at a point in time, and have little capacity to explain political or policy change. </w:t>
      </w:r>
    </w:p>
    <w:p w:rsidR="00CF0240" w:rsidRPr="00CF0240" w:rsidRDefault="00CF0240" w:rsidP="00CF0240">
      <w:pPr>
        <w:pStyle w:val="FreeForm"/>
        <w:numPr>
          <w:ilvl w:val="1"/>
          <w:numId w:val="12"/>
        </w:numPr>
        <w:rPr>
          <w:rFonts w:ascii="Times New Roman" w:hAnsi="Times New Roman"/>
          <w:position w:val="-2"/>
          <w:sz w:val="22"/>
        </w:rPr>
      </w:pPr>
      <w:r w:rsidRPr="00AD3A3A">
        <w:rPr>
          <w:rFonts w:ascii="Times New Roman" w:hAnsi="Times New Roman"/>
          <w:sz w:val="22"/>
        </w:rPr>
        <w:t xml:space="preserve">Current realities of governing no longer replicate the conditions that gave rise to the concepts and therefore undermine the case for their continuing analytical utility. </w:t>
      </w:r>
    </w:p>
    <w:p w:rsidR="00CF0240" w:rsidRPr="00AD3A3A" w:rsidRDefault="00CF0240" w:rsidP="00CF0240">
      <w:pPr>
        <w:pStyle w:val="FreeForm"/>
        <w:ind w:left="1440"/>
        <w:rPr>
          <w:rFonts w:ascii="Times New Roman" w:hAnsi="Times New Roman"/>
          <w:position w:val="-2"/>
          <w:sz w:val="22"/>
        </w:rPr>
      </w:pPr>
    </w:p>
    <w:p w:rsidR="00CF0240" w:rsidRPr="00CF0240" w:rsidRDefault="00CF0240" w:rsidP="00CF0240">
      <w:pPr>
        <w:pStyle w:val="FreeForm"/>
        <w:numPr>
          <w:ilvl w:val="0"/>
          <w:numId w:val="12"/>
        </w:numPr>
        <w:rPr>
          <w:rFonts w:ascii="Times New Roman" w:hAnsi="Times New Roman"/>
          <w:sz w:val="22"/>
          <w:u w:val="single"/>
        </w:rPr>
      </w:pPr>
      <w:r w:rsidRPr="00CF0240">
        <w:rPr>
          <w:rFonts w:ascii="Times New Roman" w:hAnsi="Times New Roman"/>
          <w:sz w:val="22"/>
          <w:u w:val="single"/>
        </w:rPr>
        <w:t>Canadian Contributions to the literature:</w:t>
      </w:r>
    </w:p>
    <w:p w:rsidR="00CF0240" w:rsidRPr="00AD3A3A" w:rsidRDefault="00CF0240" w:rsidP="00CF0240">
      <w:pPr>
        <w:pStyle w:val="FreeForm"/>
        <w:numPr>
          <w:ilvl w:val="1"/>
          <w:numId w:val="12"/>
        </w:numPr>
        <w:rPr>
          <w:rFonts w:ascii="Times New Roman" w:hAnsi="Times New Roman"/>
          <w:sz w:val="22"/>
        </w:rPr>
      </w:pPr>
      <w:r w:rsidRPr="00AD3A3A">
        <w:rPr>
          <w:rFonts w:ascii="Times New Roman" w:hAnsi="Times New Roman"/>
          <w:sz w:val="22"/>
        </w:rPr>
        <w:t>The proposition that transnational policy communities— some composed of experts, other of civil society experts— are more likely to emerge to link actors in the national and international arenas. Transnational networks are associated with supranational institutions.</w:t>
      </w:r>
    </w:p>
    <w:p w:rsidR="00056A4F" w:rsidRPr="00FB009A" w:rsidRDefault="00CF0240" w:rsidP="00FB009A">
      <w:pPr>
        <w:pStyle w:val="FreeForm"/>
        <w:numPr>
          <w:ilvl w:val="1"/>
          <w:numId w:val="12"/>
        </w:numPr>
        <w:rPr>
          <w:rFonts w:ascii="Times New Roman" w:hAnsi="Times New Roman"/>
          <w:sz w:val="22"/>
        </w:rPr>
      </w:pPr>
      <w:r w:rsidRPr="00AD3A3A">
        <w:rPr>
          <w:rFonts w:ascii="Times New Roman" w:hAnsi="Times New Roman"/>
          <w:sz w:val="22"/>
        </w:rPr>
        <w:t xml:space="preserve">Policy networks are the crucial linchpin in the capacity of governments to adjust their economies and public policies to the constraints and opportunities posed by globalization. </w:t>
      </w:r>
    </w:p>
    <w:p w:rsidR="00056A4F" w:rsidRDefault="00056A4F" w:rsidP="005051A0">
      <w:pPr>
        <w:spacing w:after="120"/>
        <w:rPr>
          <w:rFonts w:ascii="Times New Roman" w:hAnsi="Times New Roman"/>
          <w:color w:val="000090"/>
          <w:sz w:val="22"/>
        </w:rPr>
      </w:pPr>
    </w:p>
    <w:p w:rsidR="00C259E6" w:rsidRDefault="00C259E6" w:rsidP="00C259E6">
      <w:pPr>
        <w:spacing w:after="120"/>
        <w:rPr>
          <w:rFonts w:ascii="Times New Roman" w:hAnsi="Times New Roman"/>
          <w:sz w:val="22"/>
          <w:szCs w:val="26"/>
        </w:rPr>
      </w:pPr>
      <w:proofErr w:type="spellStart"/>
      <w:r w:rsidRPr="005051A0">
        <w:rPr>
          <w:rFonts w:ascii="Times New Roman" w:hAnsi="Times New Roman"/>
          <w:b/>
          <w:sz w:val="22"/>
          <w:szCs w:val="26"/>
        </w:rPr>
        <w:t>Orsini</w:t>
      </w:r>
      <w:proofErr w:type="spellEnd"/>
      <w:r w:rsidRPr="005051A0">
        <w:rPr>
          <w:rFonts w:ascii="Times New Roman" w:hAnsi="Times New Roman"/>
          <w:b/>
          <w:sz w:val="22"/>
          <w:szCs w:val="26"/>
        </w:rPr>
        <w:t xml:space="preserve"> and Smith</w:t>
      </w:r>
      <w:r w:rsidR="00FB009A">
        <w:rPr>
          <w:rFonts w:ascii="Times New Roman" w:hAnsi="Times New Roman"/>
          <w:b/>
          <w:sz w:val="22"/>
          <w:szCs w:val="26"/>
        </w:rPr>
        <w:t xml:space="preserve"> (2009)</w:t>
      </w:r>
      <w:r w:rsidR="005051A0" w:rsidRPr="005051A0">
        <w:rPr>
          <w:rFonts w:ascii="Times New Roman" w:hAnsi="Times New Roman"/>
          <w:b/>
          <w:sz w:val="22"/>
          <w:szCs w:val="26"/>
        </w:rPr>
        <w:t>:</w:t>
      </w:r>
      <w:r w:rsidR="00056A4F" w:rsidRPr="00B74FAF">
        <w:rPr>
          <w:rFonts w:ascii="Times New Roman" w:hAnsi="Times New Roman"/>
          <w:sz w:val="22"/>
          <w:szCs w:val="26"/>
        </w:rPr>
        <w:t xml:space="preserve"> “Critical Policy Studies.” </w:t>
      </w:r>
    </w:p>
    <w:p w:rsidR="00C259E6" w:rsidRPr="00C259E6" w:rsidRDefault="00C259E6" w:rsidP="00C259E6">
      <w:pPr>
        <w:pStyle w:val="ListParagraph"/>
        <w:numPr>
          <w:ilvl w:val="0"/>
          <w:numId w:val="9"/>
        </w:numPr>
        <w:spacing w:after="0"/>
        <w:rPr>
          <w:rFonts w:ascii="Times New Roman" w:eastAsia="Cambria" w:hAnsi="Times New Roman" w:cs="Times New Roman"/>
          <w:sz w:val="22"/>
          <w:szCs w:val="26"/>
        </w:rPr>
      </w:pPr>
      <w:proofErr w:type="spellStart"/>
      <w:r w:rsidRPr="00C259E6">
        <w:rPr>
          <w:rFonts w:ascii="Times New Roman" w:eastAsia="Cambria" w:hAnsi="Times New Roman" w:cs="Times New Roman"/>
          <w:sz w:val="22"/>
          <w:szCs w:val="26"/>
        </w:rPr>
        <w:t>Orsini</w:t>
      </w:r>
      <w:proofErr w:type="spellEnd"/>
      <w:r w:rsidRPr="00C259E6">
        <w:rPr>
          <w:rFonts w:ascii="Times New Roman" w:eastAsia="Cambria" w:hAnsi="Times New Roman" w:cs="Times New Roman"/>
          <w:sz w:val="22"/>
          <w:szCs w:val="26"/>
        </w:rPr>
        <w:t xml:space="preserve"> and Smith argue that policy makers and students of public policy alike need to re-examine their tool kits and reflect on just what policy analysis is supposed to achieve. They use the term “critical policy studies” as a container for an ensemble of approaches and perspectives that they believe are </w:t>
      </w:r>
      <w:proofErr w:type="gramStart"/>
      <w:r w:rsidRPr="00C259E6">
        <w:rPr>
          <w:rFonts w:ascii="Times New Roman" w:eastAsia="Cambria" w:hAnsi="Times New Roman" w:cs="Times New Roman"/>
          <w:sz w:val="22"/>
          <w:szCs w:val="26"/>
        </w:rPr>
        <w:t>best-suited</w:t>
      </w:r>
      <w:proofErr w:type="gramEnd"/>
      <w:r w:rsidRPr="00C259E6">
        <w:rPr>
          <w:rFonts w:ascii="Times New Roman" w:eastAsia="Cambria" w:hAnsi="Times New Roman" w:cs="Times New Roman"/>
          <w:sz w:val="22"/>
          <w:szCs w:val="26"/>
        </w:rPr>
        <w:t xml:space="preserve"> to the changing policy context. </w:t>
      </w:r>
    </w:p>
    <w:p w:rsidR="00056A4F" w:rsidRPr="00B74FAF" w:rsidRDefault="00056A4F" w:rsidP="00C259E6">
      <w:pPr>
        <w:spacing w:after="120"/>
        <w:rPr>
          <w:rFonts w:ascii="Times New Roman" w:hAnsi="Times New Roman"/>
          <w:sz w:val="22"/>
          <w:szCs w:val="26"/>
        </w:rPr>
      </w:pPr>
    </w:p>
    <w:p w:rsidR="00D247E2" w:rsidRDefault="00D247E2" w:rsidP="00D247E2">
      <w:pPr>
        <w:spacing w:after="120"/>
        <w:rPr>
          <w:rFonts w:ascii="Times New Roman" w:eastAsia="ヒラギノ角ゴ Pro W3" w:hAnsi="Times New Roman"/>
          <w:sz w:val="22"/>
        </w:rPr>
      </w:pPr>
      <w:proofErr w:type="spellStart"/>
      <w:r w:rsidRPr="00D247E2">
        <w:rPr>
          <w:rFonts w:ascii="Times New Roman" w:eastAsia="ヒラギノ角ゴ Pro W3" w:hAnsi="Times New Roman"/>
          <w:b/>
          <w:sz w:val="22"/>
        </w:rPr>
        <w:t>Doern</w:t>
      </w:r>
      <w:proofErr w:type="spellEnd"/>
      <w:r w:rsidRPr="00D247E2">
        <w:rPr>
          <w:rFonts w:ascii="Times New Roman" w:eastAsia="ヒラギノ角ゴ Pro W3" w:hAnsi="Times New Roman"/>
          <w:b/>
          <w:sz w:val="22"/>
        </w:rPr>
        <w:t xml:space="preserve"> (1996):</w:t>
      </w:r>
      <w:r>
        <w:rPr>
          <w:rFonts w:ascii="Times New Roman" w:eastAsia="ヒラギノ角ゴ Pro W3" w:hAnsi="Times New Roman"/>
          <w:sz w:val="22"/>
        </w:rPr>
        <w:t xml:space="preserve"> </w:t>
      </w:r>
      <w:r w:rsidR="00056A4F" w:rsidRPr="00B74FAF">
        <w:rPr>
          <w:rFonts w:ascii="Times New Roman" w:eastAsia="ヒラギノ角ゴ Pro W3" w:hAnsi="Times New Roman"/>
          <w:sz w:val="22"/>
        </w:rPr>
        <w:t>The Evolution of Canadian Policy Studies as Art, Craft, and Science.</w:t>
      </w:r>
    </w:p>
    <w:p w:rsidR="00D247E2" w:rsidRDefault="00D247E2" w:rsidP="00D247E2">
      <w:pPr>
        <w:pStyle w:val="FreeForm"/>
        <w:numPr>
          <w:ilvl w:val="0"/>
          <w:numId w:val="7"/>
        </w:numPr>
        <w:rPr>
          <w:rFonts w:ascii="Times New Roman" w:hAnsi="Times New Roman"/>
          <w:sz w:val="22"/>
        </w:rPr>
      </w:pPr>
      <w:r w:rsidRPr="007E0358">
        <w:rPr>
          <w:rFonts w:ascii="Times New Roman" w:hAnsi="Times New Roman"/>
          <w:b/>
          <w:sz w:val="22"/>
        </w:rPr>
        <w:t>Thesis:</w:t>
      </w:r>
      <w:r w:rsidRPr="007E0358">
        <w:rPr>
          <w:rFonts w:ascii="Times New Roman" w:hAnsi="Times New Roman"/>
          <w:sz w:val="22"/>
        </w:rPr>
        <w:t xml:space="preserve"> </w:t>
      </w:r>
      <w:proofErr w:type="spellStart"/>
      <w:r w:rsidRPr="007E0358">
        <w:rPr>
          <w:rFonts w:ascii="Times New Roman" w:hAnsi="Times New Roman"/>
          <w:sz w:val="22"/>
        </w:rPr>
        <w:t>Doern</w:t>
      </w:r>
      <w:proofErr w:type="spellEnd"/>
      <w:r w:rsidRPr="007E0358">
        <w:rPr>
          <w:rFonts w:ascii="Times New Roman" w:hAnsi="Times New Roman"/>
          <w:sz w:val="22"/>
        </w:rPr>
        <w:t xml:space="preserve"> argues that the evolution of Canadian policy studies should be seen as embracing the art, craft, and science of policy studies:</w:t>
      </w:r>
    </w:p>
    <w:p w:rsidR="00D247E2" w:rsidRDefault="00D247E2" w:rsidP="00D247E2">
      <w:pPr>
        <w:pStyle w:val="FreeForm"/>
        <w:numPr>
          <w:ilvl w:val="1"/>
          <w:numId w:val="7"/>
        </w:numPr>
        <w:rPr>
          <w:rFonts w:ascii="Times New Roman" w:hAnsi="Times New Roman"/>
          <w:sz w:val="22"/>
        </w:rPr>
      </w:pPr>
      <w:r w:rsidRPr="00D247E2">
        <w:rPr>
          <w:rFonts w:ascii="Times New Roman" w:hAnsi="Times New Roman"/>
          <w:sz w:val="22"/>
        </w:rPr>
        <w:t xml:space="preserve">It is an </w:t>
      </w:r>
      <w:r w:rsidRPr="00D247E2">
        <w:rPr>
          <w:rFonts w:ascii="Times New Roman" w:hAnsi="Times New Roman"/>
          <w:i/>
          <w:sz w:val="22"/>
        </w:rPr>
        <w:t>art</w:t>
      </w:r>
      <w:r w:rsidRPr="00D247E2">
        <w:rPr>
          <w:rFonts w:ascii="Times New Roman" w:hAnsi="Times New Roman"/>
          <w:sz w:val="22"/>
        </w:rPr>
        <w:t xml:space="preserve"> in the primary sense that the making of policy involves the purposeful pursuit of ideas, beliefs, and goals that are valued by interests and citizens in a democracy, but that are not easily, or perhaps no properly reducible to scientific study.</w:t>
      </w:r>
    </w:p>
    <w:p w:rsidR="00D247E2" w:rsidRDefault="00D247E2" w:rsidP="00D247E2">
      <w:pPr>
        <w:pStyle w:val="FreeForm"/>
        <w:numPr>
          <w:ilvl w:val="1"/>
          <w:numId w:val="7"/>
        </w:numPr>
        <w:rPr>
          <w:rFonts w:ascii="Times New Roman" w:hAnsi="Times New Roman"/>
          <w:sz w:val="22"/>
        </w:rPr>
      </w:pPr>
      <w:r w:rsidRPr="00D247E2">
        <w:rPr>
          <w:rFonts w:ascii="Times New Roman" w:hAnsi="Times New Roman"/>
          <w:sz w:val="22"/>
        </w:rPr>
        <w:t xml:space="preserve">It is a </w:t>
      </w:r>
      <w:r w:rsidRPr="00D247E2">
        <w:rPr>
          <w:rFonts w:ascii="Times New Roman" w:hAnsi="Times New Roman"/>
          <w:i/>
          <w:sz w:val="22"/>
        </w:rPr>
        <w:t>craft-like activity</w:t>
      </w:r>
      <w:r w:rsidRPr="00D247E2">
        <w:rPr>
          <w:rFonts w:ascii="Times New Roman" w:hAnsi="Times New Roman"/>
          <w:sz w:val="22"/>
        </w:rPr>
        <w:t xml:space="preserve"> because it must involve, and account for, the actions of both practitioners and policy advocates—it must factor in both the role of analysis and the nature of advocacy.</w:t>
      </w:r>
    </w:p>
    <w:p w:rsidR="00D247E2" w:rsidRDefault="00D247E2" w:rsidP="00D247E2">
      <w:pPr>
        <w:pStyle w:val="FreeForm"/>
        <w:numPr>
          <w:ilvl w:val="1"/>
          <w:numId w:val="7"/>
        </w:numPr>
        <w:rPr>
          <w:rFonts w:ascii="Times New Roman" w:hAnsi="Times New Roman"/>
          <w:sz w:val="22"/>
        </w:rPr>
      </w:pPr>
      <w:r w:rsidRPr="00D247E2">
        <w:rPr>
          <w:rFonts w:ascii="Times New Roman" w:hAnsi="Times New Roman"/>
          <w:sz w:val="22"/>
        </w:rPr>
        <w:t xml:space="preserve">It is also part </w:t>
      </w:r>
      <w:r w:rsidRPr="00D247E2">
        <w:rPr>
          <w:rFonts w:ascii="Times New Roman" w:hAnsi="Times New Roman"/>
          <w:i/>
          <w:sz w:val="22"/>
        </w:rPr>
        <w:t>science</w:t>
      </w:r>
      <w:r w:rsidRPr="00D247E2">
        <w:rPr>
          <w:rFonts w:ascii="Times New Roman" w:hAnsi="Times New Roman"/>
          <w:sz w:val="22"/>
        </w:rPr>
        <w:t xml:space="preserve">. Manifested in several ways: in elementary efforts at classification in comparative study among countries and among provinces, and in efforts to integrate the politics and economics of public policy within and among countries. </w:t>
      </w:r>
    </w:p>
    <w:p w:rsidR="00D247E2" w:rsidRDefault="00D247E2" w:rsidP="00265125">
      <w:pPr>
        <w:pStyle w:val="FreeForm"/>
        <w:ind w:left="720"/>
        <w:rPr>
          <w:rFonts w:ascii="Times New Roman" w:hAnsi="Times New Roman"/>
          <w:sz w:val="22"/>
        </w:rPr>
      </w:pPr>
    </w:p>
    <w:p w:rsidR="00265125" w:rsidRDefault="00D247E2" w:rsidP="00265125">
      <w:pPr>
        <w:pStyle w:val="FreeForm"/>
        <w:ind w:firstLine="284"/>
        <w:rPr>
          <w:rFonts w:ascii="Times New Roman" w:hAnsi="Times New Roman"/>
          <w:sz w:val="22"/>
        </w:rPr>
      </w:pPr>
      <w:r>
        <w:rPr>
          <w:rFonts w:ascii="Times New Roman" w:hAnsi="Times New Roman"/>
          <w:sz w:val="22"/>
        </w:rPr>
        <w:t xml:space="preserve">Five major </w:t>
      </w:r>
      <w:r w:rsidR="00265125">
        <w:rPr>
          <w:rFonts w:ascii="Times New Roman" w:hAnsi="Times New Roman"/>
          <w:sz w:val="22"/>
        </w:rPr>
        <w:t>areas of policy study in Canada:</w:t>
      </w:r>
    </w:p>
    <w:p w:rsidR="00265125" w:rsidRDefault="00D247E2" w:rsidP="00265125">
      <w:pPr>
        <w:pStyle w:val="FreeForm"/>
        <w:numPr>
          <w:ilvl w:val="0"/>
          <w:numId w:val="7"/>
        </w:numPr>
        <w:rPr>
          <w:rFonts w:ascii="Times New Roman" w:hAnsi="Times New Roman"/>
          <w:sz w:val="22"/>
        </w:rPr>
      </w:pPr>
      <w:r w:rsidRPr="00265125">
        <w:rPr>
          <w:rFonts w:ascii="Times New Roman" w:hAnsi="Times New Roman"/>
          <w:sz w:val="22"/>
        </w:rPr>
        <w:t>Canadian public policy and the Inner State</w:t>
      </w:r>
    </w:p>
    <w:p w:rsidR="00265125" w:rsidRDefault="00D247E2" w:rsidP="00265125">
      <w:pPr>
        <w:pStyle w:val="FreeForm"/>
        <w:numPr>
          <w:ilvl w:val="1"/>
          <w:numId w:val="7"/>
        </w:numPr>
        <w:rPr>
          <w:rFonts w:ascii="Times New Roman" w:hAnsi="Times New Roman"/>
          <w:sz w:val="22"/>
        </w:rPr>
      </w:pPr>
      <w:r w:rsidRPr="00265125">
        <w:rPr>
          <w:rFonts w:ascii="Times New Roman" w:hAnsi="Times New Roman"/>
          <w:sz w:val="22"/>
        </w:rPr>
        <w:t>Originated in 1960s and 70s in response to the fact that, while politics had been well studied, governing and policy making had not been</w:t>
      </w:r>
    </w:p>
    <w:p w:rsidR="00265125" w:rsidRDefault="00D247E2" w:rsidP="00265125">
      <w:pPr>
        <w:pStyle w:val="FreeForm"/>
        <w:numPr>
          <w:ilvl w:val="1"/>
          <w:numId w:val="7"/>
        </w:numPr>
        <w:rPr>
          <w:rFonts w:ascii="Times New Roman" w:hAnsi="Times New Roman"/>
          <w:sz w:val="22"/>
        </w:rPr>
      </w:pPr>
      <w:r w:rsidRPr="00265125">
        <w:rPr>
          <w:rFonts w:ascii="Times New Roman" w:hAnsi="Times New Roman"/>
          <w:sz w:val="22"/>
        </w:rPr>
        <w:t>Study was largely neo-</w:t>
      </w:r>
      <w:proofErr w:type="spellStart"/>
      <w:r w:rsidRPr="00265125">
        <w:rPr>
          <w:rFonts w:ascii="Times New Roman" w:hAnsi="Times New Roman"/>
          <w:sz w:val="22"/>
        </w:rPr>
        <w:t>institutionalist</w:t>
      </w:r>
      <w:proofErr w:type="spellEnd"/>
      <w:r w:rsidRPr="00265125">
        <w:rPr>
          <w:rFonts w:ascii="Times New Roman" w:hAnsi="Times New Roman"/>
          <w:sz w:val="22"/>
        </w:rPr>
        <w:t xml:space="preserve"> or state-centered, focusing on structures and processes. It was a reaction of the excesses of </w:t>
      </w:r>
      <w:r w:rsidRPr="00265125">
        <w:rPr>
          <w:rFonts w:ascii="Times New Roman" w:hAnsi="Times New Roman"/>
          <w:i/>
          <w:sz w:val="22"/>
        </w:rPr>
        <w:t xml:space="preserve">formal </w:t>
      </w:r>
      <w:r w:rsidRPr="00265125">
        <w:rPr>
          <w:rFonts w:ascii="Times New Roman" w:hAnsi="Times New Roman"/>
          <w:sz w:val="22"/>
        </w:rPr>
        <w:t xml:space="preserve">institutionalism, which was too descriptive and formal a view of institutions. </w:t>
      </w:r>
    </w:p>
    <w:p w:rsidR="00265125" w:rsidRDefault="00D247E2" w:rsidP="00265125">
      <w:pPr>
        <w:pStyle w:val="FreeForm"/>
        <w:numPr>
          <w:ilvl w:val="0"/>
          <w:numId w:val="7"/>
        </w:numPr>
        <w:rPr>
          <w:rFonts w:ascii="Times New Roman" w:hAnsi="Times New Roman"/>
          <w:sz w:val="22"/>
        </w:rPr>
      </w:pPr>
      <w:r w:rsidRPr="00265125">
        <w:rPr>
          <w:rFonts w:ascii="Times New Roman" w:hAnsi="Times New Roman"/>
          <w:sz w:val="22"/>
        </w:rPr>
        <w:t>Canadian policy studies and the two political economie</w:t>
      </w:r>
      <w:r w:rsidR="00265125">
        <w:rPr>
          <w:rFonts w:ascii="Times New Roman" w:hAnsi="Times New Roman"/>
          <w:sz w:val="22"/>
        </w:rPr>
        <w:t>s</w:t>
      </w:r>
    </w:p>
    <w:p w:rsidR="00265125" w:rsidRDefault="00D247E2" w:rsidP="00265125">
      <w:pPr>
        <w:pStyle w:val="FreeForm"/>
        <w:numPr>
          <w:ilvl w:val="1"/>
          <w:numId w:val="7"/>
        </w:numPr>
        <w:rPr>
          <w:rFonts w:ascii="Times New Roman" w:hAnsi="Times New Roman"/>
          <w:sz w:val="22"/>
        </w:rPr>
      </w:pPr>
      <w:r w:rsidRPr="00265125">
        <w:rPr>
          <w:rFonts w:ascii="Times New Roman" w:hAnsi="Times New Roman"/>
          <w:sz w:val="22"/>
        </w:rPr>
        <w:t xml:space="preserve">(1) </w:t>
      </w:r>
      <w:r w:rsidRPr="00265125">
        <w:rPr>
          <w:rFonts w:ascii="Times New Roman" w:hAnsi="Times New Roman"/>
          <w:i/>
          <w:sz w:val="22"/>
        </w:rPr>
        <w:t>Marxist political economy</w:t>
      </w:r>
      <w:r w:rsidRPr="00265125">
        <w:rPr>
          <w:rFonts w:ascii="Times New Roman" w:hAnsi="Times New Roman"/>
          <w:sz w:val="22"/>
        </w:rPr>
        <w:t xml:space="preserve"> – focuses on the presence and nature of inequality both in policy outputs and in policy representation/power within the state. Method is very state-centered</w:t>
      </w:r>
    </w:p>
    <w:p w:rsidR="00D247E2" w:rsidRPr="00265125" w:rsidRDefault="00D247E2" w:rsidP="00265125">
      <w:pPr>
        <w:pStyle w:val="FreeForm"/>
        <w:numPr>
          <w:ilvl w:val="1"/>
          <w:numId w:val="7"/>
        </w:numPr>
        <w:rPr>
          <w:rFonts w:ascii="Times New Roman" w:hAnsi="Times New Roman"/>
          <w:sz w:val="22"/>
        </w:rPr>
      </w:pPr>
      <w:r w:rsidRPr="00265125">
        <w:rPr>
          <w:rFonts w:ascii="Times New Roman" w:hAnsi="Times New Roman"/>
          <w:sz w:val="22"/>
        </w:rPr>
        <w:t xml:space="preserve">(2) </w:t>
      </w:r>
      <w:r w:rsidRPr="00265125">
        <w:rPr>
          <w:rFonts w:ascii="Times New Roman" w:hAnsi="Times New Roman"/>
          <w:i/>
          <w:sz w:val="22"/>
        </w:rPr>
        <w:t>Public choice political economy</w:t>
      </w:r>
      <w:r w:rsidRPr="00265125">
        <w:rPr>
          <w:rFonts w:ascii="Times New Roman" w:hAnsi="Times New Roman"/>
          <w:sz w:val="22"/>
        </w:rPr>
        <w:t xml:space="preserve"> – focuses on the incentive systems of institutional leaders and players. Also associated with attacks on the efficacy of the state and on the progressive assumptions underlying the entire liberal democratic social welfare state</w:t>
      </w:r>
    </w:p>
    <w:p w:rsidR="00265125" w:rsidRDefault="00D247E2" w:rsidP="00265125">
      <w:pPr>
        <w:pStyle w:val="FreeForm"/>
        <w:numPr>
          <w:ilvl w:val="0"/>
          <w:numId w:val="7"/>
        </w:numPr>
        <w:rPr>
          <w:rFonts w:ascii="Times New Roman" w:hAnsi="Times New Roman"/>
          <w:sz w:val="22"/>
        </w:rPr>
      </w:pPr>
      <w:r w:rsidRPr="00265125">
        <w:rPr>
          <w:rFonts w:ascii="Times New Roman" w:hAnsi="Times New Roman"/>
          <w:sz w:val="22"/>
        </w:rPr>
        <w:t>State-Centered vs. Society-Centered Debate on policy studies</w:t>
      </w:r>
    </w:p>
    <w:p w:rsidR="00265125" w:rsidRDefault="00D247E2" w:rsidP="00265125">
      <w:pPr>
        <w:pStyle w:val="FreeForm"/>
        <w:numPr>
          <w:ilvl w:val="1"/>
          <w:numId w:val="7"/>
        </w:numPr>
        <w:rPr>
          <w:rFonts w:ascii="Times New Roman" w:hAnsi="Times New Roman"/>
          <w:sz w:val="22"/>
        </w:rPr>
      </w:pPr>
      <w:r w:rsidRPr="00265125">
        <w:rPr>
          <w:rFonts w:ascii="Times New Roman" w:hAnsi="Times New Roman"/>
          <w:i/>
          <w:sz w:val="22"/>
        </w:rPr>
        <w:t>Policy Communities and Policy Networks</w:t>
      </w:r>
      <w:r w:rsidRPr="00265125">
        <w:rPr>
          <w:rFonts w:ascii="Times New Roman" w:hAnsi="Times New Roman"/>
          <w:sz w:val="22"/>
        </w:rPr>
        <w:t xml:space="preserve"> – insights can be seen as moving directionally from society of large policy-based realms to relationships inside the state</w:t>
      </w:r>
      <w:r w:rsidR="00265125">
        <w:rPr>
          <w:rFonts w:ascii="Times New Roman" w:hAnsi="Times New Roman"/>
          <w:sz w:val="22"/>
        </w:rPr>
        <w:tab/>
      </w:r>
    </w:p>
    <w:p w:rsidR="00265125" w:rsidRPr="00265125" w:rsidRDefault="00D247E2" w:rsidP="00265125">
      <w:pPr>
        <w:pStyle w:val="FreeForm"/>
        <w:numPr>
          <w:ilvl w:val="1"/>
          <w:numId w:val="7"/>
        </w:numPr>
        <w:rPr>
          <w:rFonts w:ascii="Times New Roman" w:hAnsi="Times New Roman"/>
          <w:sz w:val="22"/>
        </w:rPr>
      </w:pPr>
      <w:r w:rsidRPr="00265125">
        <w:rPr>
          <w:rFonts w:ascii="Times New Roman" w:hAnsi="Times New Roman"/>
          <w:i/>
          <w:sz w:val="22"/>
        </w:rPr>
        <w:t xml:space="preserve">Policy Sectors </w:t>
      </w:r>
      <w:r w:rsidR="00265125" w:rsidRPr="00265125">
        <w:rPr>
          <w:rFonts w:ascii="Times New Roman" w:hAnsi="Times New Roman"/>
          <w:i/>
          <w:sz w:val="22"/>
        </w:rPr>
        <w:t>–</w:t>
      </w:r>
      <w:r w:rsidRPr="00265125">
        <w:rPr>
          <w:rFonts w:ascii="Times New Roman" w:hAnsi="Times New Roman"/>
          <w:i/>
          <w:sz w:val="22"/>
        </w:rPr>
        <w:t xml:space="preserve"> </w:t>
      </w:r>
      <w:r w:rsidR="00265125" w:rsidRPr="00265125">
        <w:rPr>
          <w:rFonts w:ascii="Times New Roman" w:hAnsi="Times New Roman"/>
          <w:sz w:val="22"/>
        </w:rPr>
        <w:t xml:space="preserve">moves in the other direction – from internal state structures to groups, interests, and communities. A policy sector is a matrix or cluster of </w:t>
      </w:r>
      <w:proofErr w:type="spellStart"/>
      <w:r w:rsidR="00265125" w:rsidRPr="00265125">
        <w:rPr>
          <w:rFonts w:ascii="Times New Roman" w:hAnsi="Times New Roman"/>
          <w:sz w:val="22"/>
        </w:rPr>
        <w:t>govt</w:t>
      </w:r>
      <w:proofErr w:type="spellEnd"/>
      <w:r w:rsidR="00265125" w:rsidRPr="00265125">
        <w:rPr>
          <w:rFonts w:ascii="Times New Roman" w:hAnsi="Times New Roman"/>
          <w:sz w:val="22"/>
        </w:rPr>
        <w:t xml:space="preserve"> organizations that regularly interact and compete in an effort to defend or promote their policy interests, and gain access to the policy sector on the basis of their control over organizational resources that are critical for policy sector activities</w:t>
      </w:r>
    </w:p>
    <w:p w:rsidR="00265125" w:rsidRDefault="00265125" w:rsidP="00265125">
      <w:pPr>
        <w:pStyle w:val="FreeForm"/>
        <w:numPr>
          <w:ilvl w:val="0"/>
          <w:numId w:val="7"/>
        </w:numPr>
        <w:rPr>
          <w:rFonts w:ascii="Times New Roman" w:hAnsi="Times New Roman"/>
          <w:sz w:val="22"/>
        </w:rPr>
      </w:pPr>
      <w:r w:rsidRPr="00265125">
        <w:rPr>
          <w:rFonts w:ascii="Times New Roman" w:hAnsi="Times New Roman"/>
          <w:sz w:val="22"/>
        </w:rPr>
        <w:t xml:space="preserve">Comparative policy studies – See </w:t>
      </w:r>
      <w:proofErr w:type="spellStart"/>
      <w:r w:rsidRPr="00265125">
        <w:rPr>
          <w:rFonts w:ascii="Times New Roman" w:hAnsi="Times New Roman"/>
          <w:sz w:val="22"/>
        </w:rPr>
        <w:t>Skogstad</w:t>
      </w:r>
      <w:proofErr w:type="spellEnd"/>
      <w:r w:rsidRPr="00265125">
        <w:rPr>
          <w:rFonts w:ascii="Times New Roman" w:hAnsi="Times New Roman"/>
          <w:sz w:val="22"/>
        </w:rPr>
        <w:t xml:space="preserve">, </w:t>
      </w:r>
      <w:proofErr w:type="spellStart"/>
      <w:r w:rsidRPr="00265125">
        <w:rPr>
          <w:rFonts w:ascii="Times New Roman" w:hAnsi="Times New Roman"/>
          <w:sz w:val="22"/>
        </w:rPr>
        <w:t>Banting</w:t>
      </w:r>
      <w:proofErr w:type="spellEnd"/>
      <w:r w:rsidRPr="00265125">
        <w:rPr>
          <w:rFonts w:ascii="Times New Roman" w:hAnsi="Times New Roman"/>
          <w:sz w:val="22"/>
        </w:rPr>
        <w:t xml:space="preserve">, </w:t>
      </w:r>
      <w:proofErr w:type="spellStart"/>
      <w:r w:rsidRPr="00265125">
        <w:rPr>
          <w:rFonts w:ascii="Times New Roman" w:hAnsi="Times New Roman"/>
          <w:sz w:val="22"/>
        </w:rPr>
        <w:t>Tuohy</w:t>
      </w:r>
      <w:proofErr w:type="spellEnd"/>
    </w:p>
    <w:p w:rsidR="00906E53" w:rsidRPr="00CF0240" w:rsidRDefault="00265125" w:rsidP="00CF0240">
      <w:pPr>
        <w:pStyle w:val="FreeForm"/>
        <w:numPr>
          <w:ilvl w:val="0"/>
          <w:numId w:val="7"/>
        </w:numPr>
        <w:rPr>
          <w:rFonts w:ascii="Times New Roman" w:hAnsi="Times New Roman"/>
          <w:sz w:val="22"/>
        </w:rPr>
      </w:pPr>
      <w:r w:rsidRPr="00265125">
        <w:rPr>
          <w:rFonts w:ascii="Times New Roman" w:hAnsi="Times New Roman"/>
          <w:sz w:val="22"/>
        </w:rPr>
        <w:t xml:space="preserve">Globalization – See </w:t>
      </w:r>
      <w:proofErr w:type="spellStart"/>
      <w:r w:rsidRPr="00265125">
        <w:rPr>
          <w:rFonts w:ascii="Times New Roman" w:hAnsi="Times New Roman"/>
          <w:sz w:val="22"/>
        </w:rPr>
        <w:t>Haddow/Skogstad</w:t>
      </w:r>
      <w:proofErr w:type="spellEnd"/>
    </w:p>
    <w:p w:rsidR="00056A4F" w:rsidRPr="00B74FAF" w:rsidRDefault="00056A4F" w:rsidP="00056A4F">
      <w:pPr>
        <w:spacing w:after="120"/>
        <w:ind w:left="284"/>
        <w:rPr>
          <w:rFonts w:ascii="Times New Roman" w:eastAsia="ヒラギノ角ゴ Pro W3" w:hAnsi="Times New Roman"/>
          <w:sz w:val="22"/>
        </w:rPr>
      </w:pPr>
    </w:p>
    <w:p w:rsidR="00906E53" w:rsidRPr="00906E53" w:rsidRDefault="00056A4F" w:rsidP="00D247E2">
      <w:pPr>
        <w:spacing w:after="120"/>
        <w:rPr>
          <w:rFonts w:ascii="Times New Roman" w:eastAsia="ヒラギノ角ゴ Pro W3" w:hAnsi="Times New Roman"/>
          <w:sz w:val="22"/>
        </w:rPr>
      </w:pPr>
      <w:proofErr w:type="spellStart"/>
      <w:r w:rsidRPr="00D247E2">
        <w:rPr>
          <w:rFonts w:ascii="Times New Roman" w:eastAsia="ヒラギノ角ゴ Pro W3" w:hAnsi="Times New Roman"/>
          <w:b/>
          <w:sz w:val="22"/>
        </w:rPr>
        <w:t>Dobuzinskis</w:t>
      </w:r>
      <w:proofErr w:type="spellEnd"/>
      <w:r w:rsidRPr="00D247E2">
        <w:rPr>
          <w:rFonts w:ascii="Times New Roman" w:eastAsia="ヒラギノ角ゴ Pro W3" w:hAnsi="Times New Roman"/>
          <w:b/>
          <w:sz w:val="22"/>
        </w:rPr>
        <w:t xml:space="preserve">, </w:t>
      </w:r>
      <w:proofErr w:type="spellStart"/>
      <w:r w:rsidRPr="00D247E2">
        <w:rPr>
          <w:rFonts w:ascii="Times New Roman" w:eastAsia="ヒラギノ角ゴ Pro W3" w:hAnsi="Times New Roman"/>
          <w:b/>
          <w:sz w:val="22"/>
        </w:rPr>
        <w:t>Howlett</w:t>
      </w:r>
      <w:proofErr w:type="spellEnd"/>
      <w:r w:rsidRPr="00D247E2">
        <w:rPr>
          <w:rFonts w:ascii="Times New Roman" w:eastAsia="ヒラギノ角ゴ Pro W3" w:hAnsi="Times New Roman"/>
          <w:b/>
          <w:sz w:val="22"/>
        </w:rPr>
        <w:t xml:space="preserve">, and </w:t>
      </w:r>
      <w:proofErr w:type="spellStart"/>
      <w:r w:rsidR="00D247E2" w:rsidRPr="00D247E2">
        <w:rPr>
          <w:rFonts w:ascii="Times New Roman" w:eastAsia="ヒラギノ角ゴ Pro W3" w:hAnsi="Times New Roman"/>
          <w:b/>
          <w:sz w:val="22"/>
        </w:rPr>
        <w:t>Laycock</w:t>
      </w:r>
      <w:proofErr w:type="spellEnd"/>
      <w:r w:rsidR="00D247E2" w:rsidRPr="00D247E2">
        <w:rPr>
          <w:rFonts w:ascii="Times New Roman" w:eastAsia="ヒラギノ角ゴ Pro W3" w:hAnsi="Times New Roman"/>
          <w:b/>
          <w:sz w:val="22"/>
        </w:rPr>
        <w:t xml:space="preserve"> (2007):</w:t>
      </w:r>
      <w:r w:rsidR="00D247E2">
        <w:rPr>
          <w:rFonts w:ascii="Times New Roman" w:eastAsia="ヒラギノ角ゴ Pro W3" w:hAnsi="Times New Roman"/>
          <w:sz w:val="22"/>
        </w:rPr>
        <w:t xml:space="preserve"> </w:t>
      </w:r>
      <w:r w:rsidRPr="00B74FAF">
        <w:rPr>
          <w:rFonts w:ascii="Times New Roman" w:eastAsia="ヒラギノ角ゴ Pro W3" w:hAnsi="Times New Roman"/>
          <w:sz w:val="22"/>
        </w:rPr>
        <w:t>Policy Analysis in</w:t>
      </w:r>
      <w:r w:rsidR="00D247E2">
        <w:rPr>
          <w:rFonts w:ascii="Times New Roman" w:eastAsia="ヒラギノ角ゴ Pro W3" w:hAnsi="Times New Roman"/>
          <w:sz w:val="22"/>
        </w:rPr>
        <w:t xml:space="preserve"> Canada: The State of the Art</w:t>
      </w:r>
    </w:p>
    <w:p w:rsidR="00D247E2" w:rsidRDefault="00906E53" w:rsidP="00F8771E">
      <w:pPr>
        <w:pStyle w:val="FreeForm"/>
        <w:numPr>
          <w:ilvl w:val="0"/>
          <w:numId w:val="15"/>
        </w:numPr>
        <w:tabs>
          <w:tab w:val="left" w:pos="709"/>
          <w:tab w:val="left" w:pos="9072"/>
        </w:tabs>
        <w:ind w:left="709" w:hanging="349"/>
        <w:rPr>
          <w:rFonts w:ascii="Times New Roman" w:hAnsi="Times New Roman"/>
          <w:color w:val="auto"/>
          <w:position w:val="-2"/>
          <w:sz w:val="22"/>
        </w:rPr>
      </w:pPr>
      <w:r>
        <w:rPr>
          <w:rFonts w:ascii="Times New Roman" w:hAnsi="Times New Roman"/>
          <w:color w:val="auto"/>
          <w:sz w:val="22"/>
        </w:rPr>
        <w:t xml:space="preserve">The </w:t>
      </w:r>
      <w:r w:rsidRPr="0032360D">
        <w:rPr>
          <w:rFonts w:ascii="Times New Roman" w:hAnsi="Times New Roman"/>
          <w:i/>
          <w:color w:val="auto"/>
          <w:sz w:val="22"/>
        </w:rPr>
        <w:t>policy analysis movement</w:t>
      </w:r>
      <w:r w:rsidRPr="0032360D">
        <w:rPr>
          <w:rFonts w:ascii="Times New Roman" w:hAnsi="Times New Roman"/>
          <w:color w:val="auto"/>
          <w:sz w:val="22"/>
        </w:rPr>
        <w:t xml:space="preserve"> represents the efforts of actors inside and outside formal political decision-making processes to improve policy outcomes by applying systematic evaluative rationality to the development and implementation of policy options. Not as strong in Canada as it is in the United States (i.e. greater number of think tanks, etc.).</w:t>
      </w:r>
    </w:p>
    <w:p w:rsidR="00F8771E" w:rsidRDefault="00D247E2" w:rsidP="00F8771E">
      <w:pPr>
        <w:pStyle w:val="FreeForm"/>
        <w:numPr>
          <w:ilvl w:val="0"/>
          <w:numId w:val="15"/>
        </w:numPr>
        <w:tabs>
          <w:tab w:val="left" w:pos="709"/>
          <w:tab w:val="left" w:pos="9072"/>
        </w:tabs>
        <w:ind w:left="709" w:hanging="349"/>
        <w:rPr>
          <w:rFonts w:ascii="Times New Roman" w:hAnsi="Times New Roman"/>
          <w:color w:val="auto"/>
          <w:position w:val="-2"/>
          <w:sz w:val="22"/>
        </w:rPr>
      </w:pPr>
      <w:r>
        <w:rPr>
          <w:rFonts w:ascii="Times New Roman" w:hAnsi="Times New Roman"/>
          <w:color w:val="auto"/>
          <w:position w:val="-2"/>
          <w:sz w:val="22"/>
        </w:rPr>
        <w:t>Despite a discernable trend towards professionalization, a variety of actors continues to contribute diverse ideas to policy debates</w:t>
      </w:r>
    </w:p>
    <w:p w:rsidR="00F8771E" w:rsidRDefault="00F8771E" w:rsidP="00F8771E">
      <w:pPr>
        <w:pStyle w:val="FreeForm"/>
        <w:tabs>
          <w:tab w:val="left" w:pos="709"/>
          <w:tab w:val="left" w:pos="9072"/>
        </w:tabs>
        <w:ind w:left="709"/>
        <w:rPr>
          <w:rFonts w:ascii="Times New Roman" w:hAnsi="Times New Roman"/>
          <w:color w:val="auto"/>
          <w:position w:val="-2"/>
          <w:sz w:val="22"/>
        </w:rPr>
      </w:pPr>
    </w:p>
    <w:p w:rsidR="00F8771E" w:rsidRDefault="00F8771E" w:rsidP="00F8771E">
      <w:pPr>
        <w:pStyle w:val="FreeForm"/>
        <w:numPr>
          <w:ilvl w:val="0"/>
          <w:numId w:val="15"/>
        </w:numPr>
        <w:tabs>
          <w:tab w:val="left" w:pos="709"/>
          <w:tab w:val="left" w:pos="9072"/>
        </w:tabs>
        <w:ind w:left="709" w:hanging="349"/>
        <w:rPr>
          <w:rFonts w:ascii="Times New Roman" w:hAnsi="Times New Roman"/>
          <w:color w:val="auto"/>
          <w:position w:val="-2"/>
          <w:sz w:val="22"/>
        </w:rPr>
      </w:pPr>
      <w:r>
        <w:rPr>
          <w:rFonts w:ascii="Times New Roman" w:hAnsi="Times New Roman"/>
          <w:color w:val="auto"/>
          <w:position w:val="-2"/>
          <w:sz w:val="22"/>
        </w:rPr>
        <w:t xml:space="preserve">Policy Actors and Communities: </w:t>
      </w:r>
    </w:p>
    <w:p w:rsidR="00F8771E" w:rsidRDefault="00906E53" w:rsidP="00F8771E">
      <w:pPr>
        <w:pStyle w:val="FreeForm"/>
        <w:numPr>
          <w:ilvl w:val="1"/>
          <w:numId w:val="15"/>
        </w:numPr>
        <w:tabs>
          <w:tab w:val="left" w:pos="709"/>
          <w:tab w:val="left" w:pos="9072"/>
        </w:tabs>
        <w:rPr>
          <w:rFonts w:ascii="Times New Roman" w:hAnsi="Times New Roman"/>
          <w:color w:val="auto"/>
          <w:position w:val="-2"/>
          <w:sz w:val="22"/>
        </w:rPr>
      </w:pPr>
      <w:r w:rsidRPr="00F8771E">
        <w:rPr>
          <w:rFonts w:ascii="Times New Roman" w:hAnsi="Times New Roman"/>
          <w:color w:val="auto"/>
          <w:sz w:val="22"/>
        </w:rPr>
        <w:t>Lindquist (1990) argues that policy actors can be arranged into three general sets or communities:</w:t>
      </w:r>
    </w:p>
    <w:p w:rsidR="00F8771E" w:rsidRDefault="00906E53" w:rsidP="00F8771E">
      <w:pPr>
        <w:pStyle w:val="FreeForm"/>
        <w:numPr>
          <w:ilvl w:val="2"/>
          <w:numId w:val="15"/>
        </w:numPr>
        <w:tabs>
          <w:tab w:val="left" w:pos="709"/>
          <w:tab w:val="left" w:pos="9072"/>
        </w:tabs>
        <w:rPr>
          <w:rFonts w:ascii="Times New Roman" w:hAnsi="Times New Roman"/>
          <w:color w:val="auto"/>
          <w:position w:val="-2"/>
          <w:sz w:val="22"/>
        </w:rPr>
      </w:pPr>
      <w:r w:rsidRPr="00F8771E">
        <w:rPr>
          <w:rFonts w:ascii="Times New Roman" w:hAnsi="Times New Roman"/>
          <w:color w:val="auto"/>
          <w:sz w:val="22"/>
          <w:u w:val="single"/>
        </w:rPr>
        <w:t>Proximate decision-makers:</w:t>
      </w:r>
      <w:r w:rsidRPr="00F8771E">
        <w:rPr>
          <w:rFonts w:ascii="Times New Roman" w:hAnsi="Times New Roman"/>
          <w:color w:val="auto"/>
          <w:sz w:val="22"/>
        </w:rPr>
        <w:t xml:space="preserve"> that is, those with actual authority to make policy decisions, such as cabinets and executives, etc.</w:t>
      </w:r>
    </w:p>
    <w:p w:rsidR="00F8771E" w:rsidRDefault="00906E53" w:rsidP="00F8771E">
      <w:pPr>
        <w:pStyle w:val="FreeForm"/>
        <w:numPr>
          <w:ilvl w:val="2"/>
          <w:numId w:val="15"/>
        </w:numPr>
        <w:tabs>
          <w:tab w:val="left" w:pos="709"/>
          <w:tab w:val="left" w:pos="9072"/>
        </w:tabs>
        <w:rPr>
          <w:rFonts w:ascii="Times New Roman" w:hAnsi="Times New Roman"/>
          <w:color w:val="auto"/>
          <w:position w:val="-2"/>
          <w:sz w:val="22"/>
        </w:rPr>
      </w:pPr>
      <w:r w:rsidRPr="00F8771E">
        <w:rPr>
          <w:rFonts w:ascii="Times New Roman" w:hAnsi="Times New Roman"/>
          <w:color w:val="auto"/>
          <w:sz w:val="22"/>
          <w:u w:val="single"/>
        </w:rPr>
        <w:t>Knowledge generators</w:t>
      </w:r>
      <w:r w:rsidRPr="00F8771E">
        <w:rPr>
          <w:rFonts w:ascii="Times New Roman" w:hAnsi="Times New Roman"/>
          <w:color w:val="auto"/>
          <w:sz w:val="22"/>
        </w:rPr>
        <w:t>: those located inside academia and research institutes who provide the basic scientific, economic, and social scientific data upon which analyses are often based and decisions made.</w:t>
      </w:r>
    </w:p>
    <w:p w:rsidR="00906E53" w:rsidRPr="00F8771E" w:rsidRDefault="00906E53" w:rsidP="00F8771E">
      <w:pPr>
        <w:pStyle w:val="FreeForm"/>
        <w:numPr>
          <w:ilvl w:val="2"/>
          <w:numId w:val="15"/>
        </w:numPr>
        <w:tabs>
          <w:tab w:val="left" w:pos="709"/>
          <w:tab w:val="left" w:pos="9072"/>
        </w:tabs>
        <w:rPr>
          <w:rFonts w:ascii="Times New Roman" w:hAnsi="Times New Roman"/>
          <w:color w:val="auto"/>
          <w:position w:val="-2"/>
          <w:sz w:val="22"/>
        </w:rPr>
      </w:pPr>
      <w:r w:rsidRPr="00F8771E">
        <w:rPr>
          <w:rFonts w:ascii="Times New Roman" w:hAnsi="Times New Roman"/>
          <w:color w:val="auto"/>
          <w:sz w:val="22"/>
          <w:u w:val="single"/>
        </w:rPr>
        <w:t>Knowledge brokers</w:t>
      </w:r>
      <w:r w:rsidRPr="00F8771E">
        <w:rPr>
          <w:rFonts w:ascii="Times New Roman" w:hAnsi="Times New Roman"/>
          <w:color w:val="auto"/>
          <w:sz w:val="22"/>
        </w:rPr>
        <w:t>: that is, those who serve as intermediaries between the knowledge makers and the proximate decision-makers, repackaging data and information into usable form (bureaucrats, commissions and task-forces, non-</w:t>
      </w:r>
      <w:proofErr w:type="spellStart"/>
      <w:r w:rsidRPr="00F8771E">
        <w:rPr>
          <w:rFonts w:ascii="Times New Roman" w:hAnsi="Times New Roman"/>
          <w:color w:val="auto"/>
          <w:sz w:val="22"/>
        </w:rPr>
        <w:t>govt</w:t>
      </w:r>
      <w:proofErr w:type="spellEnd"/>
      <w:r w:rsidRPr="00F8771E">
        <w:rPr>
          <w:rFonts w:ascii="Times New Roman" w:hAnsi="Times New Roman"/>
          <w:color w:val="auto"/>
          <w:sz w:val="22"/>
        </w:rPr>
        <w:t xml:space="preserve"> specialists, think tanks, interest groups). </w:t>
      </w:r>
    </w:p>
    <w:p w:rsidR="00056A4F" w:rsidRDefault="00056A4F" w:rsidP="00906E53">
      <w:pPr>
        <w:spacing w:after="120"/>
        <w:ind w:left="2127" w:hanging="426"/>
        <w:rPr>
          <w:rFonts w:ascii="Times New Roman" w:eastAsia="ヒラギノ角ゴ Pro W3" w:hAnsi="Times New Roman"/>
          <w:sz w:val="22"/>
        </w:rPr>
      </w:pPr>
    </w:p>
    <w:p w:rsidR="003E5178" w:rsidRDefault="003E5178" w:rsidP="003E5178">
      <w:pPr>
        <w:spacing w:after="120"/>
        <w:rPr>
          <w:rFonts w:ascii="Times New Roman" w:hAnsi="Times New Roman"/>
          <w:sz w:val="22"/>
        </w:rPr>
      </w:pPr>
      <w:proofErr w:type="spellStart"/>
      <w:r w:rsidRPr="003E5178">
        <w:rPr>
          <w:rFonts w:ascii="Times New Roman" w:hAnsi="Times New Roman"/>
          <w:b/>
          <w:sz w:val="22"/>
        </w:rPr>
        <w:t>Banting</w:t>
      </w:r>
      <w:proofErr w:type="spellEnd"/>
      <w:r w:rsidRPr="003E5178">
        <w:rPr>
          <w:rFonts w:ascii="Times New Roman" w:hAnsi="Times New Roman"/>
          <w:b/>
          <w:sz w:val="22"/>
        </w:rPr>
        <w:t xml:space="preserve"> (1997):</w:t>
      </w:r>
      <w:r w:rsidR="00056A4F" w:rsidRPr="00F80FB7">
        <w:rPr>
          <w:rFonts w:ascii="Times New Roman" w:hAnsi="Times New Roman"/>
          <w:sz w:val="22"/>
        </w:rPr>
        <w:t xml:space="preserve"> </w:t>
      </w:r>
      <w:r w:rsidR="00056A4F" w:rsidRPr="003E5178">
        <w:rPr>
          <w:rFonts w:ascii="Times New Roman" w:hAnsi="Times New Roman"/>
          <w:sz w:val="22"/>
        </w:rPr>
        <w:t xml:space="preserve">The Social Policy Divide: The Welfare State in Canada and the United States. </w:t>
      </w:r>
    </w:p>
    <w:p w:rsidR="003E5178" w:rsidRDefault="003E5178" w:rsidP="003E5178">
      <w:pPr>
        <w:pStyle w:val="ListParagraph"/>
        <w:numPr>
          <w:ilvl w:val="0"/>
          <w:numId w:val="7"/>
        </w:numPr>
        <w:spacing w:after="120"/>
        <w:rPr>
          <w:rFonts w:ascii="Times New Roman" w:hAnsi="Times New Roman"/>
          <w:sz w:val="22"/>
        </w:rPr>
      </w:pPr>
      <w:r w:rsidRPr="003E5178">
        <w:rPr>
          <w:rFonts w:ascii="Times New Roman" w:hAnsi="Times New Roman"/>
          <w:sz w:val="22"/>
        </w:rPr>
        <w:t>The different versions of the liberal welfare state that emerged in Canada and the US are deeply rooted in the economic, social and political structures of the two societies</w:t>
      </w:r>
    </w:p>
    <w:p w:rsidR="00511850" w:rsidRDefault="00511850" w:rsidP="003E5178">
      <w:pPr>
        <w:pStyle w:val="ListParagraph"/>
        <w:numPr>
          <w:ilvl w:val="0"/>
          <w:numId w:val="7"/>
        </w:numPr>
        <w:spacing w:after="120"/>
        <w:rPr>
          <w:rFonts w:ascii="Times New Roman" w:hAnsi="Times New Roman"/>
          <w:sz w:val="22"/>
        </w:rPr>
      </w:pPr>
      <w:r>
        <w:rPr>
          <w:rFonts w:ascii="Times New Roman" w:hAnsi="Times New Roman"/>
          <w:sz w:val="22"/>
        </w:rPr>
        <w:t xml:space="preserve">According to many commentators, globalization also generates a second level of constraint, but narrowing the degrees of freedom that each nation-state has to craft its policy response – according to these interpretations, </w:t>
      </w:r>
      <w:proofErr w:type="spellStart"/>
      <w:r>
        <w:rPr>
          <w:rFonts w:ascii="Times New Roman" w:hAnsi="Times New Roman"/>
          <w:sz w:val="22"/>
        </w:rPr>
        <w:t>govts</w:t>
      </w:r>
      <w:proofErr w:type="spellEnd"/>
      <w:r>
        <w:rPr>
          <w:rFonts w:ascii="Times New Roman" w:hAnsi="Times New Roman"/>
          <w:sz w:val="22"/>
        </w:rPr>
        <w:t xml:space="preserve"> are under powerful pressures to harmonized their economic and social policies with those of their trading partners --- process of convergence</w:t>
      </w:r>
    </w:p>
    <w:p w:rsidR="00511850" w:rsidRDefault="00511850" w:rsidP="003E5178">
      <w:pPr>
        <w:pStyle w:val="ListParagraph"/>
        <w:numPr>
          <w:ilvl w:val="0"/>
          <w:numId w:val="7"/>
        </w:numPr>
        <w:spacing w:after="120"/>
        <w:rPr>
          <w:rFonts w:ascii="Times New Roman" w:hAnsi="Times New Roman"/>
          <w:sz w:val="22"/>
        </w:rPr>
      </w:pPr>
      <w:r>
        <w:rPr>
          <w:rFonts w:ascii="Times New Roman" w:hAnsi="Times New Roman"/>
          <w:sz w:val="22"/>
        </w:rPr>
        <w:t>Three cleavages important within Canada in the creation of its social policy: (1) economic class; (2) social heterogeneity in terms of race, ethnicity, and language; and (3) regional divisions</w:t>
      </w:r>
    </w:p>
    <w:p w:rsidR="00511850" w:rsidRDefault="00511850" w:rsidP="00511850">
      <w:pPr>
        <w:pStyle w:val="ListParagraph"/>
        <w:numPr>
          <w:ilvl w:val="1"/>
          <w:numId w:val="7"/>
        </w:numPr>
        <w:spacing w:after="120"/>
        <w:rPr>
          <w:rFonts w:ascii="Times New Roman" w:hAnsi="Times New Roman"/>
          <w:sz w:val="22"/>
        </w:rPr>
      </w:pPr>
      <w:r>
        <w:rPr>
          <w:rFonts w:ascii="Times New Roman" w:hAnsi="Times New Roman"/>
          <w:sz w:val="22"/>
        </w:rPr>
        <w:t>In Canada, the poor were not socially distinctive along ethnic/racial/language lines – rather the main cleavage was French/English which was not associated with class</w:t>
      </w:r>
    </w:p>
    <w:p w:rsidR="00511850" w:rsidRDefault="00511850" w:rsidP="00511850">
      <w:pPr>
        <w:pStyle w:val="ListParagraph"/>
        <w:numPr>
          <w:ilvl w:val="1"/>
          <w:numId w:val="7"/>
        </w:numPr>
        <w:spacing w:after="120"/>
        <w:rPr>
          <w:rFonts w:ascii="Times New Roman" w:hAnsi="Times New Roman"/>
          <w:sz w:val="22"/>
        </w:rPr>
      </w:pPr>
      <w:r>
        <w:rPr>
          <w:rFonts w:ascii="Times New Roman" w:hAnsi="Times New Roman"/>
          <w:sz w:val="22"/>
        </w:rPr>
        <w:t>Whereas class cleavage in the US is strongly associated with racial cleavage</w:t>
      </w:r>
    </w:p>
    <w:p w:rsidR="00511850" w:rsidRDefault="00511850" w:rsidP="00511850">
      <w:pPr>
        <w:pStyle w:val="ListParagraph"/>
        <w:numPr>
          <w:ilvl w:val="1"/>
          <w:numId w:val="7"/>
        </w:numPr>
        <w:spacing w:after="120"/>
        <w:rPr>
          <w:rFonts w:ascii="Times New Roman" w:hAnsi="Times New Roman"/>
          <w:sz w:val="22"/>
        </w:rPr>
      </w:pPr>
      <w:r>
        <w:rPr>
          <w:rFonts w:ascii="Times New Roman" w:hAnsi="Times New Roman"/>
          <w:sz w:val="22"/>
        </w:rPr>
        <w:t>In the US, regionalism also played a big role – resistance from the South represented a barrier to the expansion of welfare</w:t>
      </w:r>
    </w:p>
    <w:p w:rsidR="00511850" w:rsidRDefault="00511850" w:rsidP="00511850">
      <w:pPr>
        <w:pStyle w:val="ListParagraph"/>
        <w:numPr>
          <w:ilvl w:val="0"/>
          <w:numId w:val="7"/>
        </w:numPr>
        <w:spacing w:after="120"/>
        <w:rPr>
          <w:rFonts w:ascii="Times New Roman" w:hAnsi="Times New Roman"/>
          <w:sz w:val="22"/>
        </w:rPr>
      </w:pPr>
      <w:r>
        <w:rPr>
          <w:rFonts w:ascii="Times New Roman" w:hAnsi="Times New Roman"/>
          <w:sz w:val="22"/>
        </w:rPr>
        <w:t>Federalism offers the only exception to the general pattern of fewer institutional blockages in Canada</w:t>
      </w:r>
    </w:p>
    <w:p w:rsidR="00511850" w:rsidRDefault="00511850" w:rsidP="00511850">
      <w:pPr>
        <w:pStyle w:val="ListParagraph"/>
        <w:numPr>
          <w:ilvl w:val="1"/>
          <w:numId w:val="7"/>
        </w:numPr>
        <w:spacing w:after="120"/>
        <w:rPr>
          <w:rFonts w:ascii="Times New Roman" w:hAnsi="Times New Roman"/>
          <w:sz w:val="22"/>
        </w:rPr>
      </w:pPr>
      <w:r>
        <w:rPr>
          <w:rFonts w:ascii="Times New Roman" w:hAnsi="Times New Roman"/>
          <w:sz w:val="22"/>
        </w:rPr>
        <w:t>In US, federalism contributes to the larger system of checks and balances, but history records few major initiatives in social policy that were blocked primarily by constitutional limits on federal jurisdiction</w:t>
      </w:r>
    </w:p>
    <w:p w:rsidR="00511850" w:rsidRDefault="00511850" w:rsidP="00511850">
      <w:pPr>
        <w:pStyle w:val="ListParagraph"/>
        <w:numPr>
          <w:ilvl w:val="1"/>
          <w:numId w:val="7"/>
        </w:numPr>
        <w:spacing w:after="120"/>
        <w:rPr>
          <w:rFonts w:ascii="Times New Roman" w:hAnsi="Times New Roman"/>
          <w:sz w:val="22"/>
        </w:rPr>
      </w:pPr>
      <w:r>
        <w:rPr>
          <w:rFonts w:ascii="Times New Roman" w:hAnsi="Times New Roman"/>
          <w:sz w:val="22"/>
        </w:rPr>
        <w:t xml:space="preserve">That is definitely not the case in Canada. </w:t>
      </w:r>
    </w:p>
    <w:p w:rsidR="00511850" w:rsidRDefault="00511850" w:rsidP="008E56D0">
      <w:pPr>
        <w:pStyle w:val="ListParagraph"/>
        <w:spacing w:after="120"/>
        <w:ind w:left="1440"/>
        <w:rPr>
          <w:rFonts w:ascii="Times New Roman" w:hAnsi="Times New Roman"/>
          <w:sz w:val="22"/>
        </w:rPr>
      </w:pPr>
    </w:p>
    <w:p w:rsidR="008E56D0" w:rsidRDefault="00511850" w:rsidP="00511850">
      <w:pPr>
        <w:pStyle w:val="ListParagraph"/>
        <w:numPr>
          <w:ilvl w:val="0"/>
          <w:numId w:val="7"/>
        </w:numPr>
        <w:spacing w:after="120"/>
        <w:rPr>
          <w:rFonts w:ascii="Times New Roman" w:hAnsi="Times New Roman"/>
          <w:sz w:val="22"/>
        </w:rPr>
      </w:pPr>
      <w:r>
        <w:rPr>
          <w:rFonts w:ascii="Times New Roman" w:hAnsi="Times New Roman"/>
          <w:sz w:val="22"/>
        </w:rPr>
        <w:t>Overall, the record of the 1980s and 1990s is helpful in warning against the assumption that convergence is necessarily a consequence of economic integration</w:t>
      </w:r>
    </w:p>
    <w:p w:rsidR="00FB009A" w:rsidRDefault="008E56D0" w:rsidP="00511850">
      <w:pPr>
        <w:pStyle w:val="ListParagraph"/>
        <w:numPr>
          <w:ilvl w:val="0"/>
          <w:numId w:val="7"/>
        </w:numPr>
        <w:spacing w:after="120"/>
        <w:rPr>
          <w:rFonts w:ascii="Times New Roman" w:hAnsi="Times New Roman"/>
          <w:sz w:val="22"/>
        </w:rPr>
      </w:pPr>
      <w:r>
        <w:rPr>
          <w:rFonts w:ascii="Times New Roman" w:hAnsi="Times New Roman"/>
          <w:sz w:val="22"/>
        </w:rPr>
        <w:t>Despite pervasive globalization of economic life, the nation-state retains important degrees of freedom in charting its course, and politics within the nation state retains social importance</w:t>
      </w:r>
    </w:p>
    <w:p w:rsidR="003E5178" w:rsidRPr="003E5178" w:rsidRDefault="003E5178" w:rsidP="00FB009A">
      <w:pPr>
        <w:pStyle w:val="ListParagraph"/>
        <w:spacing w:after="120"/>
        <w:rPr>
          <w:rFonts w:ascii="Times New Roman" w:hAnsi="Times New Roman"/>
          <w:sz w:val="22"/>
        </w:rPr>
      </w:pPr>
    </w:p>
    <w:p w:rsidR="00056A4F" w:rsidRDefault="00056A4F" w:rsidP="00056A4F">
      <w:pPr>
        <w:spacing w:after="120"/>
        <w:rPr>
          <w:rFonts w:ascii="Times New Roman" w:hAnsi="Times New Roman"/>
          <w:sz w:val="22"/>
        </w:rPr>
      </w:pPr>
      <w:r w:rsidRPr="00265125">
        <w:rPr>
          <w:rFonts w:ascii="Times New Roman" w:hAnsi="Times New Roman"/>
          <w:b/>
          <w:sz w:val="22"/>
        </w:rPr>
        <w:t xml:space="preserve">K. </w:t>
      </w:r>
      <w:proofErr w:type="spellStart"/>
      <w:r w:rsidRPr="00265125">
        <w:rPr>
          <w:rFonts w:ascii="Times New Roman" w:hAnsi="Times New Roman"/>
          <w:b/>
          <w:sz w:val="22"/>
        </w:rPr>
        <w:t>Banting</w:t>
      </w:r>
      <w:proofErr w:type="spellEnd"/>
      <w:r w:rsidRPr="00265125">
        <w:rPr>
          <w:rFonts w:ascii="Times New Roman" w:hAnsi="Times New Roman"/>
          <w:b/>
          <w:sz w:val="22"/>
        </w:rPr>
        <w:t xml:space="preserve"> (1987):</w:t>
      </w:r>
      <w:r>
        <w:rPr>
          <w:rFonts w:ascii="Times New Roman" w:hAnsi="Times New Roman"/>
          <w:sz w:val="22"/>
        </w:rPr>
        <w:t xml:space="preserve"> </w:t>
      </w:r>
      <w:r w:rsidRPr="00056A4F">
        <w:rPr>
          <w:rFonts w:ascii="Times New Roman" w:hAnsi="Times New Roman"/>
          <w:sz w:val="22"/>
        </w:rPr>
        <w:t>The Welfare State and Canadian Federalism</w:t>
      </w:r>
    </w:p>
    <w:p w:rsidR="00056A4F" w:rsidRDefault="00056A4F" w:rsidP="00056A4F">
      <w:pPr>
        <w:pStyle w:val="ListParagraph"/>
        <w:numPr>
          <w:ilvl w:val="0"/>
          <w:numId w:val="4"/>
        </w:numPr>
        <w:spacing w:after="120"/>
        <w:rPr>
          <w:rFonts w:ascii="Times New Roman" w:hAnsi="Times New Roman"/>
          <w:sz w:val="22"/>
        </w:rPr>
      </w:pPr>
      <w:r w:rsidRPr="00056A4F">
        <w:rPr>
          <w:rFonts w:ascii="Times New Roman" w:hAnsi="Times New Roman"/>
          <w:sz w:val="22"/>
        </w:rPr>
        <w:t>Evidence clearly demonstrates that the evolution of federalism is the institutional feature that has had the greatest impact on income security in Canada.</w:t>
      </w:r>
    </w:p>
    <w:p w:rsid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Jurisdiction and power relationships in this field have been radically transformed since the 1930s – three constitutional amendments and vigorous use of the federal spending power has turned an area of virtually complete provincial responsibility at the turn of the century into one of federal dominance in the postwar era</w:t>
      </w:r>
    </w:p>
    <w:p w:rsidR="00056A4F" w:rsidRDefault="00056A4F" w:rsidP="00056A4F">
      <w:pPr>
        <w:pStyle w:val="ListParagraph"/>
        <w:numPr>
          <w:ilvl w:val="1"/>
          <w:numId w:val="4"/>
        </w:numPr>
        <w:spacing w:after="120"/>
        <w:rPr>
          <w:rFonts w:ascii="Times New Roman" w:hAnsi="Times New Roman"/>
          <w:sz w:val="22"/>
        </w:rPr>
      </w:pPr>
      <w:r>
        <w:rPr>
          <w:rFonts w:ascii="Times New Roman" w:hAnsi="Times New Roman"/>
          <w:sz w:val="22"/>
        </w:rPr>
        <w:t>This centralization has proved reasonably resistant to decentralizing pressures that have reshaped other areas of policy over the past 20 years</w:t>
      </w:r>
    </w:p>
    <w:p w:rsid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 xml:space="preserve">Why provinces were prepared to surrender formal jurisdiction in this area has never fully been answered – nonetheless, income security has emerged as one of the few exemplars in domestic policy of the centralist concept of </w:t>
      </w:r>
      <w:proofErr w:type="spellStart"/>
      <w:r>
        <w:rPr>
          <w:rFonts w:ascii="Times New Roman" w:hAnsi="Times New Roman"/>
          <w:sz w:val="22"/>
        </w:rPr>
        <w:t>Cdn</w:t>
      </w:r>
      <w:proofErr w:type="spellEnd"/>
      <w:r>
        <w:rPr>
          <w:rFonts w:ascii="Times New Roman" w:hAnsi="Times New Roman"/>
          <w:sz w:val="22"/>
        </w:rPr>
        <w:t xml:space="preserve"> federalism</w:t>
      </w:r>
    </w:p>
    <w:p w:rsidR="00056A4F" w:rsidRDefault="00056A4F" w:rsidP="00056A4F">
      <w:pPr>
        <w:pStyle w:val="ListParagraph"/>
        <w:spacing w:after="120"/>
        <w:rPr>
          <w:rFonts w:ascii="Times New Roman" w:hAnsi="Times New Roman"/>
          <w:sz w:val="22"/>
        </w:rPr>
      </w:pPr>
    </w:p>
    <w:p w:rsidR="00056A4F" w:rsidRP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 xml:space="preserve">The centralization has had important consequences for both the </w:t>
      </w:r>
      <w:r>
        <w:rPr>
          <w:rFonts w:ascii="Times New Roman" w:hAnsi="Times New Roman"/>
          <w:i/>
          <w:sz w:val="22"/>
        </w:rPr>
        <w:t xml:space="preserve">scope </w:t>
      </w:r>
      <w:r>
        <w:rPr>
          <w:rFonts w:ascii="Times New Roman" w:hAnsi="Times New Roman"/>
          <w:sz w:val="22"/>
        </w:rPr>
        <w:t xml:space="preserve">of income security programs and their </w:t>
      </w:r>
      <w:r>
        <w:rPr>
          <w:rFonts w:ascii="Times New Roman" w:hAnsi="Times New Roman"/>
          <w:i/>
          <w:sz w:val="22"/>
        </w:rPr>
        <w:t>consequences</w:t>
      </w:r>
    </w:p>
    <w:p w:rsid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 xml:space="preserve">All other things being equal, countries with decentralized governments devote a smaller proportion of their resources to welfare than do those with centralized </w:t>
      </w:r>
      <w:proofErr w:type="spellStart"/>
      <w:r>
        <w:rPr>
          <w:rFonts w:ascii="Times New Roman" w:hAnsi="Times New Roman"/>
          <w:sz w:val="22"/>
        </w:rPr>
        <w:t>govts</w:t>
      </w:r>
      <w:proofErr w:type="spellEnd"/>
      <w:r>
        <w:rPr>
          <w:rFonts w:ascii="Times New Roman" w:hAnsi="Times New Roman"/>
          <w:sz w:val="22"/>
        </w:rPr>
        <w:t xml:space="preserve"> – thus, in comparative terms, federalism is clearly a conservative force in welfare politics (though the impact is more modest today). </w:t>
      </w:r>
    </w:p>
    <w:p w:rsid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In keeping with other forms of fragmentation, federalism (divided jurisdictions):</w:t>
      </w:r>
    </w:p>
    <w:p w:rsidR="00056A4F" w:rsidRDefault="00056A4F" w:rsidP="00056A4F">
      <w:pPr>
        <w:pStyle w:val="ListParagraph"/>
        <w:numPr>
          <w:ilvl w:val="1"/>
          <w:numId w:val="4"/>
        </w:numPr>
        <w:spacing w:after="120"/>
        <w:rPr>
          <w:rFonts w:ascii="Times New Roman" w:hAnsi="Times New Roman"/>
          <w:sz w:val="22"/>
        </w:rPr>
      </w:pPr>
      <w:r>
        <w:rPr>
          <w:rFonts w:ascii="Times New Roman" w:hAnsi="Times New Roman"/>
          <w:sz w:val="22"/>
        </w:rPr>
        <w:t>Raise the level of consensus required for innovation; and</w:t>
      </w:r>
    </w:p>
    <w:p w:rsidR="00056A4F" w:rsidRDefault="00056A4F" w:rsidP="00056A4F">
      <w:pPr>
        <w:pStyle w:val="ListParagraph"/>
        <w:numPr>
          <w:ilvl w:val="1"/>
          <w:numId w:val="4"/>
        </w:numPr>
        <w:spacing w:after="120"/>
        <w:rPr>
          <w:rFonts w:ascii="Times New Roman" w:hAnsi="Times New Roman"/>
          <w:sz w:val="22"/>
        </w:rPr>
      </w:pPr>
      <w:r>
        <w:rPr>
          <w:rFonts w:ascii="Times New Roman" w:hAnsi="Times New Roman"/>
          <w:sz w:val="22"/>
        </w:rPr>
        <w:t>Complicates the process for introducing new programs</w:t>
      </w:r>
    </w:p>
    <w:p w:rsidR="00056A4F" w:rsidRDefault="00056A4F" w:rsidP="00056A4F">
      <w:pPr>
        <w:pStyle w:val="ListParagraph"/>
        <w:numPr>
          <w:ilvl w:val="2"/>
          <w:numId w:val="4"/>
        </w:numPr>
        <w:spacing w:after="120"/>
        <w:rPr>
          <w:rFonts w:ascii="Times New Roman" w:hAnsi="Times New Roman"/>
          <w:sz w:val="22"/>
        </w:rPr>
      </w:pPr>
      <w:r>
        <w:rPr>
          <w:rFonts w:ascii="Times New Roman" w:hAnsi="Times New Roman"/>
          <w:sz w:val="22"/>
        </w:rPr>
        <w:t xml:space="preserve">These conservative features have been partially offset by competition between governments </w:t>
      </w:r>
    </w:p>
    <w:p w:rsidR="00056A4F" w:rsidRDefault="00056A4F" w:rsidP="00056A4F">
      <w:pPr>
        <w:pStyle w:val="ListParagraph"/>
        <w:numPr>
          <w:ilvl w:val="2"/>
          <w:numId w:val="4"/>
        </w:numPr>
        <w:spacing w:after="120"/>
        <w:rPr>
          <w:rFonts w:ascii="Times New Roman" w:hAnsi="Times New Roman"/>
          <w:sz w:val="22"/>
        </w:rPr>
      </w:pPr>
      <w:r>
        <w:rPr>
          <w:rFonts w:ascii="Times New Roman" w:hAnsi="Times New Roman"/>
          <w:sz w:val="22"/>
        </w:rPr>
        <w:t>The revisionist interpretation contends that federal institutions contribute to the growth of the public sector by multiplying the number of governments with expansionist tendencies</w:t>
      </w:r>
    </w:p>
    <w:p w:rsidR="00056A4F" w:rsidRP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 xml:space="preserve">Federalism has changed the </w:t>
      </w:r>
      <w:r>
        <w:rPr>
          <w:rFonts w:ascii="Times New Roman" w:hAnsi="Times New Roman"/>
          <w:i/>
          <w:sz w:val="22"/>
        </w:rPr>
        <w:t>impact</w:t>
      </w:r>
      <w:r>
        <w:rPr>
          <w:rFonts w:ascii="Times New Roman" w:hAnsi="Times New Roman"/>
          <w:sz w:val="22"/>
        </w:rPr>
        <w:t xml:space="preserve"> of income security programs. Does not necessarily result in programs that are more redistributive between income classes, but rather transforms income security into a powerful redistribution mechanism between </w:t>
      </w:r>
      <w:r>
        <w:rPr>
          <w:rFonts w:ascii="Times New Roman" w:hAnsi="Times New Roman"/>
          <w:i/>
          <w:sz w:val="22"/>
        </w:rPr>
        <w:t>regions</w:t>
      </w:r>
    </w:p>
    <w:p w:rsidR="00056A4F" w:rsidRDefault="00056A4F" w:rsidP="002C78A7">
      <w:pPr>
        <w:pStyle w:val="ListParagraph"/>
        <w:spacing w:after="120"/>
        <w:rPr>
          <w:rFonts w:ascii="Times New Roman" w:hAnsi="Times New Roman"/>
          <w:sz w:val="22"/>
        </w:rPr>
      </w:pPr>
    </w:p>
    <w:p w:rsidR="00056A4F" w:rsidRDefault="00056A4F" w:rsidP="00056A4F">
      <w:pPr>
        <w:pStyle w:val="ListParagraph"/>
        <w:numPr>
          <w:ilvl w:val="0"/>
          <w:numId w:val="4"/>
        </w:numPr>
        <w:spacing w:after="120"/>
        <w:rPr>
          <w:rFonts w:ascii="Times New Roman" w:hAnsi="Times New Roman"/>
          <w:sz w:val="22"/>
        </w:rPr>
      </w:pPr>
      <w:r>
        <w:rPr>
          <w:rFonts w:ascii="Times New Roman" w:hAnsi="Times New Roman"/>
          <w:sz w:val="22"/>
        </w:rPr>
        <w:t>Adding federalism to the institutional mix does create buffers between policy and public. Federal-provincial dynamics can constrain elites from taking initiatives of which the public would probably approve</w:t>
      </w:r>
    </w:p>
    <w:p w:rsidR="00CF0240" w:rsidRDefault="00056A4F" w:rsidP="00CF0240">
      <w:pPr>
        <w:pStyle w:val="ListParagraph"/>
        <w:numPr>
          <w:ilvl w:val="0"/>
          <w:numId w:val="4"/>
        </w:numPr>
        <w:spacing w:after="120"/>
        <w:rPr>
          <w:rFonts w:ascii="Times New Roman" w:hAnsi="Times New Roman"/>
          <w:sz w:val="22"/>
        </w:rPr>
      </w:pPr>
      <w:r>
        <w:rPr>
          <w:rFonts w:ascii="Times New Roman" w:hAnsi="Times New Roman"/>
          <w:sz w:val="22"/>
        </w:rPr>
        <w:t xml:space="preserve">The argument advanced throughout the book is that although institutional patterns do influence income security, they are not the only, or even the most important, determinant of policy. The nature of </w:t>
      </w:r>
      <w:proofErr w:type="spellStart"/>
      <w:r>
        <w:rPr>
          <w:rFonts w:ascii="Times New Roman" w:hAnsi="Times New Roman"/>
          <w:sz w:val="22"/>
        </w:rPr>
        <w:t>Cdn</w:t>
      </w:r>
      <w:proofErr w:type="spellEnd"/>
      <w:r>
        <w:rPr>
          <w:rFonts w:ascii="Times New Roman" w:hAnsi="Times New Roman"/>
          <w:sz w:val="22"/>
        </w:rPr>
        <w:t xml:space="preserve"> political economy, the nation’s social and demographic profile, </w:t>
      </w:r>
      <w:r w:rsidR="000F05BD">
        <w:rPr>
          <w:rFonts w:ascii="Times New Roman" w:hAnsi="Times New Roman"/>
          <w:sz w:val="22"/>
        </w:rPr>
        <w:t xml:space="preserve">its cultural and political configuration, all leave their imprint on the </w:t>
      </w:r>
      <w:proofErr w:type="spellStart"/>
      <w:r w:rsidR="000F05BD">
        <w:rPr>
          <w:rFonts w:ascii="Times New Roman" w:hAnsi="Times New Roman"/>
          <w:sz w:val="22"/>
        </w:rPr>
        <w:t>Cdn</w:t>
      </w:r>
      <w:proofErr w:type="spellEnd"/>
      <w:r w:rsidR="000F05BD">
        <w:rPr>
          <w:rFonts w:ascii="Times New Roman" w:hAnsi="Times New Roman"/>
          <w:sz w:val="22"/>
        </w:rPr>
        <w:t xml:space="preserve"> welfare state (though the institutional framework may be </w:t>
      </w:r>
      <w:r w:rsidR="000F05BD">
        <w:rPr>
          <w:rFonts w:ascii="Times New Roman" w:hAnsi="Times New Roman"/>
          <w:i/>
          <w:sz w:val="22"/>
        </w:rPr>
        <w:t xml:space="preserve">more </w:t>
      </w:r>
      <w:r w:rsidR="000F05BD">
        <w:rPr>
          <w:rFonts w:ascii="Times New Roman" w:hAnsi="Times New Roman"/>
          <w:sz w:val="22"/>
        </w:rPr>
        <w:t>important in other policy areas).</w:t>
      </w:r>
    </w:p>
    <w:p w:rsidR="00056A4F" w:rsidRPr="00CF0240" w:rsidRDefault="00056A4F" w:rsidP="00CF0240">
      <w:pPr>
        <w:pStyle w:val="ListParagraph"/>
        <w:spacing w:after="120"/>
        <w:rPr>
          <w:rFonts w:ascii="Times New Roman" w:hAnsi="Times New Roman"/>
          <w:sz w:val="22"/>
        </w:rPr>
      </w:pPr>
    </w:p>
    <w:p w:rsidR="00906E53" w:rsidRDefault="00906E53" w:rsidP="00906E53">
      <w:pPr>
        <w:spacing w:after="120"/>
        <w:rPr>
          <w:rFonts w:ascii="Times New Roman" w:hAnsi="Times New Roman"/>
          <w:sz w:val="22"/>
        </w:rPr>
      </w:pPr>
      <w:proofErr w:type="spellStart"/>
      <w:r w:rsidRPr="00906E53">
        <w:rPr>
          <w:rFonts w:ascii="Times New Roman" w:hAnsi="Times New Roman"/>
          <w:b/>
          <w:sz w:val="22"/>
        </w:rPr>
        <w:t>Soroka</w:t>
      </w:r>
      <w:proofErr w:type="spellEnd"/>
      <w:r w:rsidRPr="00906E53">
        <w:rPr>
          <w:rFonts w:ascii="Times New Roman" w:hAnsi="Times New Roman"/>
          <w:b/>
          <w:sz w:val="22"/>
        </w:rPr>
        <w:t xml:space="preserve"> (2003):</w:t>
      </w:r>
      <w:r w:rsidR="00056A4F">
        <w:rPr>
          <w:rFonts w:ascii="Times New Roman" w:hAnsi="Times New Roman"/>
          <w:sz w:val="22"/>
        </w:rPr>
        <w:t xml:space="preserve"> </w:t>
      </w:r>
      <w:r w:rsidR="00056A4F" w:rsidRPr="00906E53">
        <w:rPr>
          <w:rFonts w:ascii="Times New Roman" w:hAnsi="Times New Roman"/>
          <w:sz w:val="22"/>
        </w:rPr>
        <w:t xml:space="preserve">Agenda-Setting Dynamics in Canada </w:t>
      </w:r>
    </w:p>
    <w:p w:rsidR="00A30780" w:rsidRPr="00A30780" w:rsidRDefault="00A30780" w:rsidP="00A30780">
      <w:pPr>
        <w:pStyle w:val="ListParagraph"/>
        <w:numPr>
          <w:ilvl w:val="0"/>
          <w:numId w:val="4"/>
        </w:numPr>
        <w:spacing w:after="120"/>
        <w:rPr>
          <w:rFonts w:ascii="Times New Roman" w:hAnsi="Times New Roman"/>
          <w:sz w:val="22"/>
        </w:rPr>
      </w:pPr>
      <w:r w:rsidRPr="00A30780">
        <w:rPr>
          <w:rFonts w:ascii="Times New Roman" w:hAnsi="Times New Roman"/>
          <w:sz w:val="22"/>
        </w:rPr>
        <w:t>Findings:</w:t>
      </w:r>
    </w:p>
    <w:p w:rsidR="00A30780" w:rsidRDefault="00A30780" w:rsidP="00A30780">
      <w:pPr>
        <w:pStyle w:val="ListParagraph"/>
        <w:numPr>
          <w:ilvl w:val="1"/>
          <w:numId w:val="4"/>
        </w:numPr>
        <w:spacing w:after="120"/>
        <w:rPr>
          <w:rFonts w:ascii="Times New Roman" w:hAnsi="Times New Roman"/>
          <w:sz w:val="22"/>
        </w:rPr>
      </w:pPr>
      <w:r>
        <w:rPr>
          <w:rFonts w:ascii="Times New Roman" w:hAnsi="Times New Roman"/>
          <w:sz w:val="22"/>
        </w:rPr>
        <w:t xml:space="preserve">Despite work that emphasizes regional differences, there is a </w:t>
      </w:r>
      <w:proofErr w:type="spellStart"/>
      <w:r>
        <w:rPr>
          <w:rFonts w:ascii="Times New Roman" w:hAnsi="Times New Roman"/>
          <w:sz w:val="22"/>
        </w:rPr>
        <w:t>Cdn</w:t>
      </w:r>
      <w:proofErr w:type="spellEnd"/>
      <w:r>
        <w:rPr>
          <w:rFonts w:ascii="Times New Roman" w:hAnsi="Times New Roman"/>
          <w:sz w:val="22"/>
        </w:rPr>
        <w:t xml:space="preserve"> newspaper agenda</w:t>
      </w:r>
    </w:p>
    <w:p w:rsidR="00A30780" w:rsidRDefault="00A30780" w:rsidP="00A30780">
      <w:pPr>
        <w:pStyle w:val="ListParagraph"/>
        <w:numPr>
          <w:ilvl w:val="1"/>
          <w:numId w:val="4"/>
        </w:numPr>
        <w:spacing w:after="120"/>
        <w:rPr>
          <w:rFonts w:ascii="Times New Roman" w:hAnsi="Times New Roman"/>
          <w:sz w:val="22"/>
        </w:rPr>
      </w:pPr>
      <w:r>
        <w:rPr>
          <w:rFonts w:ascii="Times New Roman" w:hAnsi="Times New Roman"/>
          <w:sz w:val="22"/>
        </w:rPr>
        <w:t xml:space="preserve">There is also a </w:t>
      </w:r>
      <w:proofErr w:type="spellStart"/>
      <w:r>
        <w:rPr>
          <w:rFonts w:ascii="Times New Roman" w:hAnsi="Times New Roman"/>
          <w:sz w:val="22"/>
        </w:rPr>
        <w:t>Cdn</w:t>
      </w:r>
      <w:proofErr w:type="spellEnd"/>
      <w:r>
        <w:rPr>
          <w:rFonts w:ascii="Times New Roman" w:hAnsi="Times New Roman"/>
          <w:sz w:val="22"/>
        </w:rPr>
        <w:t xml:space="preserve"> public agenda</w:t>
      </w:r>
    </w:p>
    <w:p w:rsidR="00A30780" w:rsidRDefault="00A30780" w:rsidP="00A30780">
      <w:pPr>
        <w:pStyle w:val="ListParagraph"/>
        <w:numPr>
          <w:ilvl w:val="0"/>
          <w:numId w:val="4"/>
        </w:numPr>
        <w:spacing w:after="120"/>
        <w:rPr>
          <w:rFonts w:ascii="Times New Roman" w:hAnsi="Times New Roman"/>
          <w:sz w:val="22"/>
        </w:rPr>
      </w:pPr>
      <w:r>
        <w:rPr>
          <w:rFonts w:ascii="Times New Roman" w:hAnsi="Times New Roman"/>
          <w:sz w:val="22"/>
        </w:rPr>
        <w:t>Agenda-setting dynamics are often multidirectional – and it is incorrect to assume that the media agenda leads to the public agenda</w:t>
      </w:r>
    </w:p>
    <w:p w:rsidR="00A30780" w:rsidRDefault="00A30780" w:rsidP="00A30780">
      <w:pPr>
        <w:pStyle w:val="ListParagraph"/>
        <w:spacing w:after="120"/>
        <w:rPr>
          <w:rFonts w:ascii="Times New Roman" w:hAnsi="Times New Roman"/>
          <w:sz w:val="22"/>
        </w:rPr>
      </w:pPr>
    </w:p>
    <w:p w:rsidR="00906E53" w:rsidRPr="00A30780" w:rsidRDefault="00A30780" w:rsidP="00A30780">
      <w:pPr>
        <w:pStyle w:val="ListParagraph"/>
        <w:numPr>
          <w:ilvl w:val="0"/>
          <w:numId w:val="4"/>
        </w:numPr>
        <w:spacing w:after="120"/>
        <w:rPr>
          <w:rFonts w:ascii="Times New Roman" w:hAnsi="Times New Roman"/>
          <w:sz w:val="22"/>
        </w:rPr>
      </w:pPr>
      <w:proofErr w:type="gramStart"/>
      <w:r>
        <w:rPr>
          <w:rFonts w:ascii="Times New Roman" w:hAnsi="Times New Roman"/>
          <w:sz w:val="22"/>
        </w:rPr>
        <w:t>Argues that</w:t>
      </w:r>
      <w:proofErr w:type="gramEnd"/>
      <w:r>
        <w:rPr>
          <w:rFonts w:ascii="Times New Roman" w:hAnsi="Times New Roman"/>
          <w:sz w:val="22"/>
        </w:rPr>
        <w:t xml:space="preserve"> “politics and political science are too often divided. Political science has a value on its own, certainly, but efforts to link academic work with everyday politics are especially valuable”</w:t>
      </w:r>
    </w:p>
    <w:p w:rsidR="00056A4F" w:rsidRDefault="00056A4F" w:rsidP="00906E53">
      <w:pPr>
        <w:spacing w:after="120"/>
        <w:rPr>
          <w:rFonts w:ascii="Times New Roman" w:hAnsi="Times New Roman"/>
          <w:sz w:val="22"/>
        </w:rPr>
      </w:pPr>
    </w:p>
    <w:p w:rsidR="00056A4F" w:rsidRDefault="00056A4F" w:rsidP="00056A4F">
      <w:pPr>
        <w:spacing w:after="120"/>
        <w:rPr>
          <w:rFonts w:ascii="Times New Roman" w:hAnsi="Times New Roman"/>
          <w:sz w:val="22"/>
        </w:rPr>
      </w:pPr>
      <w:proofErr w:type="spellStart"/>
      <w:r w:rsidRPr="00906E53">
        <w:rPr>
          <w:rFonts w:ascii="Times New Roman" w:hAnsi="Times New Roman"/>
          <w:b/>
          <w:sz w:val="22"/>
        </w:rPr>
        <w:t>Tuohy</w:t>
      </w:r>
      <w:proofErr w:type="spellEnd"/>
      <w:r w:rsidRPr="00906E53">
        <w:rPr>
          <w:rFonts w:ascii="Times New Roman" w:hAnsi="Times New Roman"/>
          <w:b/>
          <w:sz w:val="22"/>
        </w:rPr>
        <w:t xml:space="preserve"> (1999):</w:t>
      </w:r>
      <w:r>
        <w:rPr>
          <w:rFonts w:ascii="Times New Roman" w:hAnsi="Times New Roman"/>
          <w:sz w:val="22"/>
        </w:rPr>
        <w:t xml:space="preserve"> </w:t>
      </w:r>
      <w:r w:rsidRPr="00056A4F">
        <w:rPr>
          <w:rFonts w:ascii="Times New Roman" w:hAnsi="Times New Roman"/>
          <w:sz w:val="22"/>
        </w:rPr>
        <w:t>Accidental Logics: The Dynamics of Change in the Health Care Arena in the United States, Britain, and Canada</w:t>
      </w:r>
      <w:r>
        <w:rPr>
          <w:rFonts w:ascii="Times New Roman" w:hAnsi="Times New Roman"/>
          <w:i/>
          <w:sz w:val="22"/>
        </w:rPr>
        <w:t xml:space="preserve"> </w:t>
      </w:r>
    </w:p>
    <w:p w:rsidR="002C78A7" w:rsidRDefault="002C78A7" w:rsidP="00056A4F">
      <w:pPr>
        <w:pStyle w:val="ListParagraph"/>
        <w:numPr>
          <w:ilvl w:val="0"/>
          <w:numId w:val="2"/>
        </w:numPr>
        <w:spacing w:after="120"/>
        <w:rPr>
          <w:rFonts w:ascii="Times New Roman" w:hAnsi="Times New Roman"/>
          <w:sz w:val="22"/>
        </w:rPr>
      </w:pPr>
      <w:r>
        <w:rPr>
          <w:rFonts w:ascii="Times New Roman" w:hAnsi="Times New Roman"/>
          <w:sz w:val="22"/>
        </w:rPr>
        <w:t>The separate healthcare systems that emerged in Canada, UK, and Britain resulted largely, if not entirely, from “accidents” of the timing of their birth – each had windows opened at different times. Had these windows been different, things might look nothing like they do today</w:t>
      </w:r>
    </w:p>
    <w:p w:rsidR="002C78A7" w:rsidRDefault="002C78A7" w:rsidP="00056A4F">
      <w:pPr>
        <w:pStyle w:val="ListParagraph"/>
        <w:numPr>
          <w:ilvl w:val="0"/>
          <w:numId w:val="2"/>
        </w:numPr>
        <w:spacing w:after="120"/>
        <w:rPr>
          <w:rFonts w:ascii="Times New Roman" w:hAnsi="Times New Roman"/>
          <w:sz w:val="22"/>
        </w:rPr>
      </w:pPr>
      <w:r>
        <w:rPr>
          <w:rFonts w:ascii="Times New Roman" w:hAnsi="Times New Roman"/>
          <w:sz w:val="22"/>
        </w:rPr>
        <w:t>Between these policy episodes, the systems were shaped by their own internal logics</w:t>
      </w:r>
    </w:p>
    <w:p w:rsidR="002C78A7" w:rsidRDefault="00056A4F" w:rsidP="00056A4F">
      <w:pPr>
        <w:pStyle w:val="ListParagraph"/>
        <w:numPr>
          <w:ilvl w:val="0"/>
          <w:numId w:val="2"/>
        </w:numPr>
        <w:spacing w:after="120"/>
        <w:rPr>
          <w:rFonts w:ascii="Times New Roman" w:hAnsi="Times New Roman"/>
          <w:sz w:val="22"/>
        </w:rPr>
      </w:pPr>
      <w:r w:rsidRPr="00056A4F">
        <w:rPr>
          <w:rFonts w:ascii="Times New Roman" w:hAnsi="Times New Roman"/>
          <w:sz w:val="22"/>
        </w:rPr>
        <w:t>This is really a path dependency argument</w:t>
      </w:r>
    </w:p>
    <w:p w:rsidR="002C78A7" w:rsidRDefault="002C78A7" w:rsidP="00906E53">
      <w:pPr>
        <w:pStyle w:val="ListParagraph"/>
        <w:spacing w:after="120"/>
        <w:rPr>
          <w:rFonts w:ascii="Times New Roman" w:hAnsi="Times New Roman"/>
          <w:sz w:val="22"/>
        </w:rPr>
      </w:pPr>
    </w:p>
    <w:p w:rsidR="00906E53" w:rsidRDefault="002C78A7" w:rsidP="00056A4F">
      <w:pPr>
        <w:pStyle w:val="ListParagraph"/>
        <w:numPr>
          <w:ilvl w:val="0"/>
          <w:numId w:val="2"/>
        </w:numPr>
        <w:spacing w:after="120"/>
        <w:rPr>
          <w:rFonts w:ascii="Times New Roman" w:hAnsi="Times New Roman"/>
          <w:sz w:val="22"/>
        </w:rPr>
      </w:pPr>
      <w:r>
        <w:rPr>
          <w:rFonts w:ascii="Times New Roman" w:hAnsi="Times New Roman"/>
          <w:sz w:val="22"/>
        </w:rPr>
        <w:t>Argument made throughout the book joins the social science literature about the survival of the welfare state at the turn of the 21</w:t>
      </w:r>
      <w:r w:rsidRPr="002C78A7">
        <w:rPr>
          <w:rFonts w:ascii="Times New Roman" w:hAnsi="Times New Roman"/>
          <w:sz w:val="22"/>
          <w:vertAlign w:val="superscript"/>
        </w:rPr>
        <w:t>st</w:t>
      </w:r>
      <w:r>
        <w:rPr>
          <w:rFonts w:ascii="Times New Roman" w:hAnsi="Times New Roman"/>
          <w:sz w:val="22"/>
        </w:rPr>
        <w:t xml:space="preserve"> century. In particular, </w:t>
      </w:r>
      <w:r w:rsidR="00906E53">
        <w:rPr>
          <w:rFonts w:ascii="Times New Roman" w:hAnsi="Times New Roman"/>
          <w:sz w:val="22"/>
        </w:rPr>
        <w:t>it can inform two lines of thought about 21</w:t>
      </w:r>
      <w:r w:rsidR="00906E53" w:rsidRPr="00906E53">
        <w:rPr>
          <w:rFonts w:ascii="Times New Roman" w:hAnsi="Times New Roman"/>
          <w:sz w:val="22"/>
          <w:vertAlign w:val="superscript"/>
        </w:rPr>
        <w:t>st</w:t>
      </w:r>
      <w:r w:rsidR="00906E53">
        <w:rPr>
          <w:rFonts w:ascii="Times New Roman" w:hAnsi="Times New Roman"/>
          <w:sz w:val="22"/>
        </w:rPr>
        <w:t xml:space="preserve"> century welfare-state development:</w:t>
      </w:r>
    </w:p>
    <w:p w:rsidR="00906E53" w:rsidRDefault="00906E53" w:rsidP="00906E53">
      <w:pPr>
        <w:pStyle w:val="ListParagraph"/>
        <w:numPr>
          <w:ilvl w:val="1"/>
          <w:numId w:val="2"/>
        </w:numPr>
        <w:spacing w:after="120"/>
        <w:rPr>
          <w:rFonts w:ascii="Times New Roman" w:hAnsi="Times New Roman"/>
          <w:sz w:val="22"/>
        </w:rPr>
      </w:pPr>
      <w:r>
        <w:rPr>
          <w:rFonts w:ascii="Times New Roman" w:hAnsi="Times New Roman"/>
          <w:sz w:val="22"/>
        </w:rPr>
        <w:t xml:space="preserve">Points to an increasing cross-national convergence in welfare state policies – </w:t>
      </w:r>
      <w:proofErr w:type="spellStart"/>
      <w:r>
        <w:rPr>
          <w:rFonts w:ascii="Times New Roman" w:hAnsi="Times New Roman"/>
          <w:sz w:val="22"/>
        </w:rPr>
        <w:t>Ruggie</w:t>
      </w:r>
      <w:proofErr w:type="spellEnd"/>
      <w:r>
        <w:rPr>
          <w:rFonts w:ascii="Times New Roman" w:hAnsi="Times New Roman"/>
          <w:sz w:val="22"/>
        </w:rPr>
        <w:t xml:space="preserve"> in here analysis found a degree of convergence in health policy in the US, UK and Canada</w:t>
      </w:r>
    </w:p>
    <w:p w:rsidR="00056A4F" w:rsidRPr="00A30780" w:rsidRDefault="00906E53" w:rsidP="00056A4F">
      <w:pPr>
        <w:pStyle w:val="ListParagraph"/>
        <w:numPr>
          <w:ilvl w:val="1"/>
          <w:numId w:val="2"/>
        </w:numPr>
        <w:spacing w:after="120"/>
        <w:rPr>
          <w:rFonts w:ascii="Times New Roman" w:hAnsi="Times New Roman"/>
          <w:sz w:val="22"/>
        </w:rPr>
      </w:pPr>
      <w:r>
        <w:rPr>
          <w:rFonts w:ascii="Times New Roman" w:hAnsi="Times New Roman"/>
          <w:sz w:val="22"/>
        </w:rPr>
        <w:t>Another line of argument sees the development of welfare states as path dependent and emphasizes national differences</w:t>
      </w:r>
    </w:p>
    <w:p w:rsidR="007E6D07" w:rsidRDefault="00FB009A" w:rsidP="00A30780">
      <w:pPr>
        <w:spacing w:after="120"/>
        <w:rPr>
          <w:rFonts w:ascii="Times New Roman" w:hAnsi="Times New Roman"/>
          <w:color w:val="660066"/>
          <w:sz w:val="22"/>
        </w:rPr>
      </w:pPr>
      <w:r w:rsidRPr="00FB009A">
        <w:rPr>
          <w:rFonts w:ascii="Times New Roman" w:hAnsi="Times New Roman"/>
          <w:b/>
          <w:color w:val="660066"/>
          <w:sz w:val="22"/>
        </w:rPr>
        <w:t>R. Simeon (1976):</w:t>
      </w:r>
      <w:r>
        <w:rPr>
          <w:rFonts w:ascii="Times New Roman" w:hAnsi="Times New Roman"/>
          <w:color w:val="660066"/>
          <w:sz w:val="22"/>
        </w:rPr>
        <w:t xml:space="preserve"> </w:t>
      </w:r>
      <w:r w:rsidR="00056A4F" w:rsidRPr="00903912">
        <w:rPr>
          <w:rFonts w:ascii="Times New Roman" w:hAnsi="Times New Roman"/>
          <w:color w:val="660066"/>
          <w:sz w:val="22"/>
        </w:rPr>
        <w:t>Studying Public Policy</w:t>
      </w:r>
    </w:p>
    <w:p w:rsidR="007E6D07" w:rsidRPr="007E6D07" w:rsidRDefault="007E6D07" w:rsidP="007E6D07">
      <w:pPr>
        <w:pStyle w:val="ListParagraph"/>
        <w:widowControl w:val="0"/>
        <w:numPr>
          <w:ilvl w:val="0"/>
          <w:numId w:val="17"/>
        </w:numPr>
        <w:autoSpaceDE w:val="0"/>
        <w:autoSpaceDN w:val="0"/>
        <w:adjustRightInd w:val="0"/>
        <w:spacing w:after="0"/>
        <w:rPr>
          <w:rFonts w:ascii="Times-Roman" w:hAnsi="Times-Roman" w:cs="Times-Roman"/>
          <w:sz w:val="22"/>
          <w:szCs w:val="22"/>
        </w:rPr>
      </w:pPr>
      <w:r w:rsidRPr="007E6D07">
        <w:rPr>
          <w:rFonts w:ascii="Times-Roman" w:hAnsi="Times-Roman" w:cs="Times-Roman"/>
          <w:sz w:val="22"/>
          <w:szCs w:val="22"/>
        </w:rPr>
        <w:t>Despite this recent preoccupation with what, after all, is one of the oldest concerns of political science, we have not really advanced very far in increasing understanding of how government policies and actions are to be explained or understood. There is a proliferation of isolated studies, and of different methods and approaches, but precious little in the way of explanation.</w:t>
      </w:r>
    </w:p>
    <w:p w:rsidR="007E6D07" w:rsidRPr="007E6D07" w:rsidRDefault="007E6D07" w:rsidP="007E6D07">
      <w:pPr>
        <w:pStyle w:val="ListParagraph"/>
        <w:widowControl w:val="0"/>
        <w:numPr>
          <w:ilvl w:val="0"/>
          <w:numId w:val="17"/>
        </w:numPr>
        <w:autoSpaceDE w:val="0"/>
        <w:autoSpaceDN w:val="0"/>
        <w:adjustRightInd w:val="0"/>
        <w:spacing w:after="0"/>
        <w:rPr>
          <w:rFonts w:ascii="Times-Roman" w:hAnsi="Times-Roman" w:cs="Times-Roman"/>
          <w:sz w:val="22"/>
          <w:szCs w:val="22"/>
        </w:rPr>
      </w:pPr>
      <w:r w:rsidRPr="007E6D07">
        <w:rPr>
          <w:rFonts w:ascii="Times-Roman" w:hAnsi="Times-Roman" w:cs="Times-Roman"/>
          <w:sz w:val="22"/>
          <w:szCs w:val="22"/>
        </w:rPr>
        <w:t xml:space="preserve">His is an argument for the role or place that studies of policy should have in political science and it is a response to the apolitical, </w:t>
      </w:r>
      <w:proofErr w:type="spellStart"/>
      <w:r w:rsidRPr="007E6D07">
        <w:rPr>
          <w:rFonts w:ascii="Times-Roman" w:hAnsi="Times-Roman" w:cs="Times-Roman"/>
          <w:sz w:val="22"/>
          <w:szCs w:val="22"/>
        </w:rPr>
        <w:t>atheoretical</w:t>
      </w:r>
      <w:proofErr w:type="spellEnd"/>
      <w:r w:rsidRPr="007E6D07">
        <w:rPr>
          <w:rFonts w:ascii="Times-Roman" w:hAnsi="Times-Roman" w:cs="Times-Roman"/>
          <w:sz w:val="22"/>
          <w:szCs w:val="22"/>
        </w:rPr>
        <w:t xml:space="preserve">, non-cumulative, and </w:t>
      </w:r>
      <w:proofErr w:type="spellStart"/>
      <w:r w:rsidRPr="007E6D07">
        <w:rPr>
          <w:rFonts w:ascii="Times-Roman" w:hAnsi="Times-Roman" w:cs="Times-Roman"/>
          <w:sz w:val="22"/>
          <w:szCs w:val="22"/>
        </w:rPr>
        <w:t>noncomparative</w:t>
      </w:r>
      <w:proofErr w:type="spellEnd"/>
      <w:r w:rsidRPr="007E6D07">
        <w:rPr>
          <w:rFonts w:ascii="Times-Roman" w:hAnsi="Times-Roman" w:cs="Times-Roman"/>
          <w:sz w:val="22"/>
          <w:szCs w:val="22"/>
        </w:rPr>
        <w:t xml:space="preserve"> characteristics of much of the recent work in the area.</w:t>
      </w:r>
    </w:p>
    <w:p w:rsidR="007E6D07" w:rsidRPr="007E6D07" w:rsidRDefault="007E6D07" w:rsidP="007E6D07">
      <w:pPr>
        <w:pStyle w:val="ListParagraph"/>
        <w:widowControl w:val="0"/>
        <w:numPr>
          <w:ilvl w:val="0"/>
          <w:numId w:val="17"/>
        </w:numPr>
        <w:autoSpaceDE w:val="0"/>
        <w:autoSpaceDN w:val="0"/>
        <w:adjustRightInd w:val="0"/>
        <w:spacing w:after="0"/>
        <w:rPr>
          <w:rFonts w:ascii="Times-Roman" w:hAnsi="Times-Roman" w:cs="Times-Roman"/>
          <w:sz w:val="22"/>
          <w:szCs w:val="22"/>
        </w:rPr>
      </w:pPr>
      <w:r w:rsidRPr="007E6D07">
        <w:rPr>
          <w:rFonts w:ascii="Times-Roman" w:hAnsi="Times-Roman" w:cs="Times-Roman"/>
          <w:sz w:val="22"/>
          <w:szCs w:val="22"/>
        </w:rPr>
        <w:t>The framework of policy analysis is most unhelpful in one way: it presents not a theory, but a way of looking at policy; it does not simplify study, but instead makes it more complex.</w:t>
      </w:r>
    </w:p>
    <w:p w:rsidR="00FB009A" w:rsidRDefault="00FB009A" w:rsidP="00A30780">
      <w:pPr>
        <w:spacing w:after="120"/>
        <w:rPr>
          <w:rFonts w:ascii="Times New Roman" w:hAnsi="Times New Roman"/>
          <w:color w:val="660066"/>
          <w:sz w:val="22"/>
        </w:rPr>
      </w:pPr>
    </w:p>
    <w:p w:rsidR="00FB009A" w:rsidRDefault="00FB009A" w:rsidP="00FB009A">
      <w:pPr>
        <w:spacing w:after="120"/>
        <w:rPr>
          <w:rFonts w:ascii="Times New Roman" w:hAnsi="Times New Roman"/>
          <w:color w:val="000090"/>
          <w:sz w:val="22"/>
        </w:rPr>
      </w:pPr>
      <w:r w:rsidRPr="005051A0">
        <w:rPr>
          <w:rFonts w:ascii="Times New Roman" w:hAnsi="Times New Roman"/>
          <w:b/>
          <w:color w:val="000090"/>
          <w:sz w:val="22"/>
        </w:rPr>
        <w:t>R. Simeon (1996):</w:t>
      </w:r>
      <w:r>
        <w:rPr>
          <w:rFonts w:ascii="Times New Roman" w:hAnsi="Times New Roman"/>
          <w:color w:val="000090"/>
          <w:sz w:val="22"/>
        </w:rPr>
        <w:t xml:space="preserve"> Afterword: ‘New’ Directions in Canadian Policy Studies</w:t>
      </w:r>
    </w:p>
    <w:p w:rsidR="00FB009A" w:rsidRDefault="00FB009A" w:rsidP="00FB009A">
      <w:pPr>
        <w:pStyle w:val="FreeForm"/>
        <w:numPr>
          <w:ilvl w:val="0"/>
          <w:numId w:val="10"/>
        </w:numPr>
        <w:rPr>
          <w:rFonts w:ascii="Times New Roman" w:hAnsi="Times New Roman"/>
          <w:sz w:val="22"/>
        </w:rPr>
      </w:pPr>
      <w:r>
        <w:rPr>
          <w:rFonts w:ascii="Times New Roman" w:hAnsi="Times New Roman"/>
          <w:sz w:val="22"/>
        </w:rPr>
        <w:t xml:space="preserve">Revisits </w:t>
      </w:r>
      <w:r w:rsidRPr="00661C13">
        <w:rPr>
          <w:rFonts w:ascii="Times New Roman" w:hAnsi="Times New Roman"/>
          <w:sz w:val="22"/>
        </w:rPr>
        <w:t>“Studying Public Policy”</w:t>
      </w:r>
      <w:r>
        <w:rPr>
          <w:rFonts w:ascii="Times New Roman" w:hAnsi="Times New Roman"/>
          <w:sz w:val="22"/>
        </w:rPr>
        <w:t xml:space="preserve"> and argues that </w:t>
      </w:r>
      <w:r w:rsidRPr="00661C13">
        <w:rPr>
          <w:rFonts w:ascii="Times New Roman" w:hAnsi="Times New Roman"/>
          <w:sz w:val="22"/>
        </w:rPr>
        <w:t>that there has been an extraordinary growth and maturation of policy studies in Canada</w:t>
      </w:r>
      <w:r>
        <w:rPr>
          <w:rFonts w:ascii="Times New Roman" w:hAnsi="Times New Roman"/>
          <w:sz w:val="22"/>
        </w:rPr>
        <w:t xml:space="preserve"> </w:t>
      </w:r>
      <w:r w:rsidRPr="00661C13">
        <w:rPr>
          <w:rFonts w:ascii="Times New Roman" w:hAnsi="Times New Roman"/>
          <w:sz w:val="22"/>
        </w:rPr>
        <w:t>(</w:t>
      </w:r>
      <w:r>
        <w:rPr>
          <w:rFonts w:ascii="Times New Roman" w:hAnsi="Times New Roman"/>
          <w:sz w:val="22"/>
        </w:rPr>
        <w:t xml:space="preserve">citing </w:t>
      </w:r>
      <w:proofErr w:type="spellStart"/>
      <w:r w:rsidRPr="00661C13">
        <w:rPr>
          <w:rFonts w:ascii="Times New Roman" w:hAnsi="Times New Roman"/>
          <w:sz w:val="22"/>
        </w:rPr>
        <w:t>Doern</w:t>
      </w:r>
      <w:proofErr w:type="spellEnd"/>
      <w:r w:rsidRPr="00661C13">
        <w:rPr>
          <w:rFonts w:ascii="Times New Roman" w:hAnsi="Times New Roman"/>
          <w:sz w:val="22"/>
        </w:rPr>
        <w:t xml:space="preserve"> and </w:t>
      </w:r>
      <w:proofErr w:type="spellStart"/>
      <w:r w:rsidRPr="00661C13">
        <w:rPr>
          <w:rFonts w:ascii="Times New Roman" w:hAnsi="Times New Roman"/>
          <w:sz w:val="22"/>
        </w:rPr>
        <w:t>P</w:t>
      </w:r>
      <w:r>
        <w:rPr>
          <w:rFonts w:ascii="Times New Roman" w:hAnsi="Times New Roman"/>
          <w:sz w:val="22"/>
        </w:rPr>
        <w:t>hidd</w:t>
      </w:r>
      <w:proofErr w:type="spellEnd"/>
      <w:r>
        <w:rPr>
          <w:rFonts w:ascii="Times New Roman" w:hAnsi="Times New Roman"/>
          <w:sz w:val="22"/>
        </w:rPr>
        <w:t>, Pal, Brooks, and Atkinson</w:t>
      </w:r>
      <w:r w:rsidRPr="00661C13">
        <w:rPr>
          <w:rFonts w:ascii="Times New Roman" w:hAnsi="Times New Roman"/>
          <w:sz w:val="22"/>
        </w:rPr>
        <w:t xml:space="preserve">, edited texts, </w:t>
      </w:r>
      <w:r w:rsidRPr="00661C13">
        <w:rPr>
          <w:rFonts w:ascii="Times New Roman" w:hAnsi="Times New Roman"/>
          <w:i/>
          <w:sz w:val="22"/>
        </w:rPr>
        <w:t>Canadian Public Policy</w:t>
      </w:r>
      <w:r w:rsidRPr="00661C13">
        <w:rPr>
          <w:rFonts w:ascii="Times New Roman" w:hAnsi="Times New Roman"/>
          <w:sz w:val="22"/>
        </w:rPr>
        <w:t xml:space="preserve">, </w:t>
      </w:r>
      <w:r w:rsidRPr="00661C13">
        <w:rPr>
          <w:rFonts w:ascii="Times New Roman" w:hAnsi="Times New Roman"/>
          <w:i/>
          <w:sz w:val="22"/>
        </w:rPr>
        <w:t xml:space="preserve">Policy Options, </w:t>
      </w:r>
      <w:r w:rsidRPr="00661C13">
        <w:rPr>
          <w:rFonts w:ascii="Times New Roman" w:hAnsi="Times New Roman"/>
          <w:sz w:val="22"/>
        </w:rPr>
        <w:t xml:space="preserve">and </w:t>
      </w:r>
      <w:r w:rsidRPr="00661C13">
        <w:rPr>
          <w:rFonts w:ascii="Times New Roman" w:hAnsi="Times New Roman"/>
          <w:i/>
          <w:sz w:val="22"/>
        </w:rPr>
        <w:t>How Ottawa Spends</w:t>
      </w:r>
      <w:r>
        <w:rPr>
          <w:rFonts w:ascii="Times New Roman" w:hAnsi="Times New Roman"/>
          <w:sz w:val="22"/>
        </w:rPr>
        <w:t>)</w:t>
      </w:r>
      <w:r>
        <w:rPr>
          <w:rFonts w:ascii="Times New Roman" w:hAnsi="Times New Roman"/>
          <w:position w:val="-2"/>
          <w:sz w:val="22"/>
        </w:rPr>
        <w:t xml:space="preserve">. </w:t>
      </w:r>
      <w:r w:rsidRPr="00661C13">
        <w:rPr>
          <w:rFonts w:ascii="Times New Roman" w:hAnsi="Times New Roman"/>
          <w:sz w:val="22"/>
        </w:rPr>
        <w:t>Argues that:</w:t>
      </w:r>
    </w:p>
    <w:p w:rsidR="00FB009A" w:rsidRDefault="00FB009A" w:rsidP="00FB009A">
      <w:pPr>
        <w:pStyle w:val="FreeForm"/>
        <w:numPr>
          <w:ilvl w:val="1"/>
          <w:numId w:val="10"/>
        </w:numPr>
        <w:rPr>
          <w:rFonts w:ascii="Times New Roman" w:hAnsi="Times New Roman"/>
          <w:position w:val="-2"/>
          <w:sz w:val="22"/>
        </w:rPr>
      </w:pPr>
      <w:r w:rsidRPr="005051A0">
        <w:rPr>
          <w:rFonts w:ascii="Times New Roman" w:hAnsi="Times New Roman"/>
          <w:sz w:val="22"/>
        </w:rPr>
        <w:t xml:space="preserve">The field has become more comparative: m explicitly comparative studies are being undertaken, </w:t>
      </w:r>
      <w:r w:rsidRPr="005051A0">
        <w:rPr>
          <w:rFonts w:ascii="Times New Roman" w:hAnsi="Times New Roman"/>
          <w:i/>
          <w:sz w:val="22"/>
        </w:rPr>
        <w:t>and</w:t>
      </w:r>
      <w:r w:rsidRPr="005051A0">
        <w:rPr>
          <w:rFonts w:ascii="Times New Roman" w:hAnsi="Times New Roman"/>
          <w:sz w:val="22"/>
        </w:rPr>
        <w:t xml:space="preserve"> Canadian research draws very heavily on the comparative literature.</w:t>
      </w:r>
    </w:p>
    <w:p w:rsidR="00FB009A" w:rsidRDefault="00FB009A" w:rsidP="00FB009A">
      <w:pPr>
        <w:pStyle w:val="FreeForm"/>
        <w:numPr>
          <w:ilvl w:val="1"/>
          <w:numId w:val="10"/>
        </w:numPr>
        <w:rPr>
          <w:rFonts w:ascii="Times New Roman" w:hAnsi="Times New Roman"/>
          <w:position w:val="-2"/>
          <w:sz w:val="22"/>
        </w:rPr>
      </w:pPr>
      <w:r w:rsidRPr="005051A0">
        <w:rPr>
          <w:rFonts w:ascii="Times New Roman" w:hAnsi="Times New Roman"/>
          <w:sz w:val="22"/>
        </w:rPr>
        <w:t xml:space="preserve">Increase in case studies of an array of policy fields. </w:t>
      </w:r>
    </w:p>
    <w:p w:rsidR="00FB009A" w:rsidRDefault="00FB009A" w:rsidP="00FB009A">
      <w:pPr>
        <w:pStyle w:val="FreeForm"/>
        <w:numPr>
          <w:ilvl w:val="1"/>
          <w:numId w:val="10"/>
        </w:numPr>
        <w:rPr>
          <w:rFonts w:ascii="Times New Roman" w:hAnsi="Times New Roman"/>
          <w:position w:val="-2"/>
          <w:sz w:val="22"/>
        </w:rPr>
      </w:pPr>
      <w:r w:rsidRPr="005051A0">
        <w:rPr>
          <w:rFonts w:ascii="Times New Roman" w:hAnsi="Times New Roman"/>
          <w:sz w:val="22"/>
        </w:rPr>
        <w:t>Research has become much more theoretically self-conscious and explicit.</w:t>
      </w:r>
    </w:p>
    <w:p w:rsidR="00FB009A" w:rsidRDefault="00FB009A" w:rsidP="00FB009A">
      <w:pPr>
        <w:pStyle w:val="FreeForm"/>
        <w:numPr>
          <w:ilvl w:val="1"/>
          <w:numId w:val="10"/>
        </w:numPr>
        <w:rPr>
          <w:rFonts w:ascii="Times New Roman" w:hAnsi="Times New Roman"/>
          <w:position w:val="-2"/>
          <w:sz w:val="22"/>
        </w:rPr>
      </w:pPr>
      <w:r>
        <w:rPr>
          <w:rFonts w:ascii="Times New Roman" w:hAnsi="Times New Roman"/>
          <w:position w:val="-2"/>
          <w:sz w:val="22"/>
        </w:rPr>
        <w:t xml:space="preserve">There have been important conceptual contributions – Coleman and </w:t>
      </w:r>
      <w:proofErr w:type="spellStart"/>
      <w:r>
        <w:rPr>
          <w:rFonts w:ascii="Times New Roman" w:hAnsi="Times New Roman"/>
          <w:position w:val="-2"/>
          <w:sz w:val="22"/>
        </w:rPr>
        <w:t>Skogstad</w:t>
      </w:r>
      <w:proofErr w:type="spellEnd"/>
      <w:r>
        <w:rPr>
          <w:rFonts w:ascii="Times New Roman" w:hAnsi="Times New Roman"/>
          <w:position w:val="-2"/>
          <w:sz w:val="22"/>
        </w:rPr>
        <w:t xml:space="preserve"> on policy communities, </w:t>
      </w:r>
      <w:proofErr w:type="spellStart"/>
      <w:r>
        <w:rPr>
          <w:rFonts w:ascii="Times New Roman" w:hAnsi="Times New Roman"/>
          <w:position w:val="-2"/>
          <w:sz w:val="22"/>
        </w:rPr>
        <w:t>Hoberg</w:t>
      </w:r>
      <w:proofErr w:type="spellEnd"/>
      <w:r>
        <w:rPr>
          <w:rFonts w:ascii="Times New Roman" w:hAnsi="Times New Roman"/>
          <w:position w:val="-2"/>
          <w:sz w:val="22"/>
        </w:rPr>
        <w:t xml:space="preserve"> on policy styles, etc </w:t>
      </w:r>
    </w:p>
    <w:p w:rsidR="00FB009A" w:rsidRPr="005051A0" w:rsidRDefault="00FB009A" w:rsidP="00FB009A">
      <w:pPr>
        <w:pStyle w:val="FreeForm"/>
        <w:numPr>
          <w:ilvl w:val="0"/>
          <w:numId w:val="10"/>
        </w:numPr>
        <w:rPr>
          <w:rFonts w:ascii="Times New Roman" w:hAnsi="Times New Roman"/>
          <w:position w:val="-2"/>
          <w:sz w:val="22"/>
        </w:rPr>
      </w:pPr>
      <w:r>
        <w:rPr>
          <w:rFonts w:ascii="Times New Roman" w:hAnsi="Times New Roman"/>
          <w:position w:val="-2"/>
          <w:sz w:val="22"/>
        </w:rPr>
        <w:t xml:space="preserve">Despite </w:t>
      </w:r>
      <w:proofErr w:type="gramStart"/>
      <w:r w:rsidRPr="005051A0">
        <w:rPr>
          <w:rFonts w:ascii="Times New Roman" w:hAnsi="Times New Roman"/>
          <w:sz w:val="22"/>
        </w:rPr>
        <w:t>this</w:t>
      </w:r>
      <w:proofErr w:type="gramEnd"/>
      <w:r w:rsidRPr="005051A0">
        <w:rPr>
          <w:rFonts w:ascii="Times New Roman" w:hAnsi="Times New Roman"/>
          <w:sz w:val="22"/>
        </w:rPr>
        <w:t xml:space="preserve"> richness, the impact of policy studies on the real world of policy making remains very limited, with a few exceptions such as constitutional policy. Economists, lawyers, and business have probably had more impact.</w:t>
      </w:r>
    </w:p>
    <w:p w:rsidR="00FB009A" w:rsidRPr="005051A0" w:rsidRDefault="00FB009A" w:rsidP="00FB009A">
      <w:pPr>
        <w:pStyle w:val="FreeForm"/>
        <w:numPr>
          <w:ilvl w:val="0"/>
          <w:numId w:val="10"/>
        </w:numPr>
        <w:rPr>
          <w:rFonts w:ascii="Times New Roman" w:hAnsi="Times New Roman"/>
          <w:position w:val="-2"/>
          <w:sz w:val="22"/>
        </w:rPr>
      </w:pPr>
      <w:r w:rsidRPr="00661C13">
        <w:rPr>
          <w:rFonts w:ascii="Times New Roman" w:hAnsi="Times New Roman"/>
          <w:sz w:val="22"/>
        </w:rPr>
        <w:t xml:space="preserve">Research tends to look backward at why things are as they are, rather than forward to what they might be. An emphasis on constraint, </w:t>
      </w:r>
      <w:proofErr w:type="spellStart"/>
      <w:r w:rsidRPr="00661C13">
        <w:rPr>
          <w:rFonts w:ascii="Times New Roman" w:hAnsi="Times New Roman"/>
          <w:sz w:val="22"/>
        </w:rPr>
        <w:t>multicausality</w:t>
      </w:r>
      <w:proofErr w:type="spellEnd"/>
      <w:r w:rsidRPr="00661C13">
        <w:rPr>
          <w:rFonts w:ascii="Times New Roman" w:hAnsi="Times New Roman"/>
          <w:sz w:val="22"/>
        </w:rPr>
        <w:t xml:space="preserve">, and unintended consequences makes us skeptical about the possibilities for reform. </w:t>
      </w:r>
    </w:p>
    <w:p w:rsidR="00FB009A" w:rsidRDefault="00FB009A" w:rsidP="00A30780">
      <w:pPr>
        <w:spacing w:after="120"/>
        <w:rPr>
          <w:rFonts w:ascii="Times New Roman" w:hAnsi="Times New Roman"/>
          <w:color w:val="660066"/>
          <w:sz w:val="22"/>
        </w:rPr>
      </w:pPr>
    </w:p>
    <w:p w:rsidR="00A30780" w:rsidRDefault="00A30780" w:rsidP="00A30780">
      <w:pPr>
        <w:spacing w:after="120"/>
        <w:rPr>
          <w:rFonts w:ascii="Times New Roman" w:hAnsi="Times New Roman"/>
          <w:color w:val="000090"/>
          <w:sz w:val="22"/>
        </w:rPr>
      </w:pPr>
      <w:proofErr w:type="spellStart"/>
      <w:r w:rsidRPr="00A30780">
        <w:rPr>
          <w:rFonts w:ascii="Times New Roman" w:hAnsi="Times New Roman"/>
          <w:b/>
          <w:color w:val="000090"/>
          <w:sz w:val="22"/>
        </w:rPr>
        <w:t>Howlett</w:t>
      </w:r>
      <w:proofErr w:type="spellEnd"/>
      <w:r w:rsidRPr="00A30780">
        <w:rPr>
          <w:rFonts w:ascii="Times New Roman" w:hAnsi="Times New Roman"/>
          <w:b/>
          <w:color w:val="000090"/>
          <w:sz w:val="22"/>
        </w:rPr>
        <w:t xml:space="preserve"> (2009):</w:t>
      </w:r>
      <w:r>
        <w:rPr>
          <w:rFonts w:ascii="Times New Roman" w:hAnsi="Times New Roman"/>
          <w:color w:val="000090"/>
          <w:sz w:val="22"/>
        </w:rPr>
        <w:t xml:space="preserve"> </w:t>
      </w:r>
      <w:r w:rsidR="00056A4F">
        <w:rPr>
          <w:rFonts w:ascii="Times New Roman" w:hAnsi="Times New Roman"/>
          <w:color w:val="000090"/>
          <w:sz w:val="22"/>
        </w:rPr>
        <w:t>Policy analytical capacity and evidence-based policy-making: Lessons fr</w:t>
      </w:r>
      <w:r>
        <w:rPr>
          <w:rFonts w:ascii="Times New Roman" w:hAnsi="Times New Roman"/>
          <w:color w:val="000090"/>
          <w:sz w:val="22"/>
        </w:rPr>
        <w:t>om Canada</w:t>
      </w:r>
    </w:p>
    <w:p w:rsidR="00A30780" w:rsidRDefault="00A30780" w:rsidP="00A30780">
      <w:pPr>
        <w:pStyle w:val="ListParagraph"/>
        <w:widowControl w:val="0"/>
        <w:numPr>
          <w:ilvl w:val="0"/>
          <w:numId w:val="14"/>
        </w:numPr>
        <w:autoSpaceDE w:val="0"/>
        <w:autoSpaceDN w:val="0"/>
        <w:adjustRightInd w:val="0"/>
        <w:spacing w:after="0"/>
        <w:rPr>
          <w:rFonts w:ascii="Times New Roman" w:hAnsi="Times New Roman" w:cs="AdvPalR"/>
          <w:sz w:val="22"/>
          <w:szCs w:val="18"/>
        </w:rPr>
      </w:pPr>
      <w:r w:rsidRPr="00A30780">
        <w:rPr>
          <w:rFonts w:ascii="Times New Roman" w:hAnsi="Times New Roman" w:cs="AdvPalR"/>
          <w:sz w:val="22"/>
          <w:szCs w:val="18"/>
        </w:rPr>
        <w:t>Evidence-based policy-making represents a contemporary effort to reform</w:t>
      </w:r>
      <w:r>
        <w:rPr>
          <w:rFonts w:ascii="Times New Roman" w:hAnsi="Times New Roman" w:cs="AdvPalR"/>
          <w:sz w:val="22"/>
          <w:szCs w:val="18"/>
        </w:rPr>
        <w:t xml:space="preserve"> </w:t>
      </w:r>
      <w:r w:rsidRPr="00A30780">
        <w:rPr>
          <w:rFonts w:ascii="Times New Roman" w:hAnsi="Times New Roman" w:cs="AdvPalR"/>
          <w:sz w:val="22"/>
          <w:szCs w:val="18"/>
        </w:rPr>
        <w:t>or re-structure policy processes in order to</w:t>
      </w:r>
      <w:r>
        <w:rPr>
          <w:rFonts w:ascii="Times New Roman" w:hAnsi="Times New Roman" w:cs="AdvPalR"/>
          <w:sz w:val="22"/>
          <w:szCs w:val="18"/>
        </w:rPr>
        <w:t xml:space="preserve"> prioritize evidentiary or data </w:t>
      </w:r>
      <w:r w:rsidRPr="00A30780">
        <w:rPr>
          <w:rFonts w:ascii="Times New Roman" w:hAnsi="Times New Roman" w:cs="AdvPalR"/>
          <w:sz w:val="22"/>
          <w:szCs w:val="18"/>
        </w:rPr>
        <w:t>based decision-making. Like earlier efforts in the ‘‘policy analysis movement,’’ its aim is to</w:t>
      </w:r>
      <w:r>
        <w:rPr>
          <w:rFonts w:ascii="Times New Roman" w:hAnsi="Times New Roman" w:cs="AdvPalR"/>
          <w:sz w:val="22"/>
          <w:szCs w:val="18"/>
        </w:rPr>
        <w:t xml:space="preserve"> </w:t>
      </w:r>
      <w:r w:rsidRPr="00A30780">
        <w:rPr>
          <w:rFonts w:ascii="Times New Roman" w:hAnsi="Times New Roman" w:cs="AdvPalR"/>
          <w:sz w:val="22"/>
          <w:szCs w:val="18"/>
        </w:rPr>
        <w:t>avoid or minimize policy failures caused by a mismatch between government expectations</w:t>
      </w:r>
      <w:r>
        <w:rPr>
          <w:rFonts w:ascii="Times New Roman" w:hAnsi="Times New Roman" w:cs="AdvPalR"/>
          <w:sz w:val="22"/>
          <w:szCs w:val="18"/>
        </w:rPr>
        <w:t xml:space="preserve"> </w:t>
      </w:r>
      <w:r w:rsidRPr="00A30780">
        <w:rPr>
          <w:rFonts w:ascii="Times New Roman" w:hAnsi="Times New Roman" w:cs="AdvPalR"/>
          <w:sz w:val="22"/>
          <w:szCs w:val="18"/>
        </w:rPr>
        <w:t>and actual, on-the-ground conditions through the provision of greater</w:t>
      </w:r>
      <w:r>
        <w:rPr>
          <w:rFonts w:ascii="Times New Roman" w:hAnsi="Times New Roman" w:cs="AdvPalR"/>
          <w:sz w:val="22"/>
          <w:szCs w:val="18"/>
        </w:rPr>
        <w:t xml:space="preserve"> </w:t>
      </w:r>
      <w:r w:rsidRPr="00A30780">
        <w:rPr>
          <w:rFonts w:ascii="Times New Roman" w:hAnsi="Times New Roman" w:cs="AdvPalR"/>
          <w:sz w:val="22"/>
          <w:szCs w:val="18"/>
        </w:rPr>
        <w:t>amounts of policy-relevant information. A significant factor affecting the ability of</w:t>
      </w:r>
      <w:r>
        <w:rPr>
          <w:rFonts w:ascii="Times New Roman" w:hAnsi="Times New Roman" w:cs="AdvPalR"/>
          <w:sz w:val="22"/>
          <w:szCs w:val="18"/>
        </w:rPr>
        <w:t xml:space="preserve"> </w:t>
      </w:r>
      <w:r w:rsidRPr="00A30780">
        <w:rPr>
          <w:rFonts w:ascii="Times New Roman" w:hAnsi="Times New Roman" w:cs="AdvPalR"/>
          <w:sz w:val="22"/>
          <w:szCs w:val="18"/>
        </w:rPr>
        <w:t>policy-makers to engage in evidence-based policy-making pertains to both governmental</w:t>
      </w:r>
      <w:r>
        <w:rPr>
          <w:rFonts w:ascii="Times New Roman" w:hAnsi="Times New Roman" w:cs="AdvPalR"/>
          <w:sz w:val="22"/>
          <w:szCs w:val="18"/>
        </w:rPr>
        <w:t xml:space="preserve"> </w:t>
      </w:r>
      <w:r w:rsidRPr="00A30780">
        <w:rPr>
          <w:rFonts w:ascii="Times New Roman" w:hAnsi="Times New Roman" w:cs="AdvPalR"/>
          <w:sz w:val="22"/>
          <w:szCs w:val="18"/>
        </w:rPr>
        <w:t xml:space="preserve">and non-governmental ‘‘policy analytical capacity.’’ </w:t>
      </w:r>
    </w:p>
    <w:p w:rsidR="00A30780" w:rsidRDefault="00A30780" w:rsidP="00A30780">
      <w:pPr>
        <w:pStyle w:val="ListParagraph"/>
        <w:widowControl w:val="0"/>
        <w:numPr>
          <w:ilvl w:val="1"/>
          <w:numId w:val="14"/>
        </w:numPr>
        <w:autoSpaceDE w:val="0"/>
        <w:autoSpaceDN w:val="0"/>
        <w:adjustRightInd w:val="0"/>
        <w:spacing w:after="0"/>
        <w:rPr>
          <w:rFonts w:ascii="Times New Roman" w:hAnsi="Times New Roman" w:cs="AdvPalR"/>
          <w:sz w:val="22"/>
          <w:szCs w:val="18"/>
        </w:rPr>
      </w:pPr>
      <w:r w:rsidRPr="00A30780">
        <w:rPr>
          <w:rFonts w:ascii="Times New Roman" w:hAnsi="Times New Roman" w:cs="AdvPalR"/>
          <w:sz w:val="22"/>
          <w:szCs w:val="18"/>
        </w:rPr>
        <w:t>That is, governments</w:t>
      </w:r>
      <w:r>
        <w:rPr>
          <w:rFonts w:ascii="Times New Roman" w:hAnsi="Times New Roman" w:cs="AdvPalR"/>
          <w:sz w:val="22"/>
          <w:szCs w:val="18"/>
        </w:rPr>
        <w:t xml:space="preserve"> </w:t>
      </w:r>
      <w:r w:rsidRPr="00A30780">
        <w:rPr>
          <w:rFonts w:ascii="Times New Roman" w:hAnsi="Times New Roman" w:cs="AdvPalR"/>
          <w:sz w:val="22"/>
          <w:szCs w:val="18"/>
        </w:rPr>
        <w:t>require a reasonably high level of policy analytical capacity to perform the tasks associated</w:t>
      </w:r>
      <w:r>
        <w:rPr>
          <w:rFonts w:ascii="Times New Roman" w:hAnsi="Times New Roman" w:cs="AdvPalR"/>
          <w:sz w:val="22"/>
          <w:szCs w:val="18"/>
        </w:rPr>
        <w:t xml:space="preserve"> </w:t>
      </w:r>
      <w:r w:rsidRPr="00A30780">
        <w:rPr>
          <w:rFonts w:ascii="Times New Roman" w:hAnsi="Times New Roman" w:cs="AdvPalR"/>
          <w:sz w:val="22"/>
          <w:szCs w:val="18"/>
        </w:rPr>
        <w:t>with managing the policy process in order to implement evidence-based</w:t>
      </w:r>
      <w:r>
        <w:rPr>
          <w:rFonts w:ascii="Times New Roman" w:hAnsi="Times New Roman" w:cs="AdvPalR"/>
          <w:sz w:val="22"/>
          <w:szCs w:val="18"/>
        </w:rPr>
        <w:t xml:space="preserve"> </w:t>
      </w:r>
      <w:r w:rsidRPr="00A30780">
        <w:rPr>
          <w:rFonts w:ascii="Times New Roman" w:hAnsi="Times New Roman" w:cs="AdvPalR"/>
          <w:sz w:val="22"/>
          <w:szCs w:val="18"/>
        </w:rPr>
        <w:t>policy-making and avoid several of the most common sources of policy failures.</w:t>
      </w:r>
      <w:r>
        <w:rPr>
          <w:rFonts w:ascii="Times New Roman" w:hAnsi="Times New Roman" w:cs="AdvPalR"/>
          <w:sz w:val="22"/>
          <w:szCs w:val="18"/>
        </w:rPr>
        <w:t xml:space="preserve"> </w:t>
      </w:r>
    </w:p>
    <w:p w:rsidR="00A30780" w:rsidRDefault="00A30780" w:rsidP="00A30780">
      <w:pPr>
        <w:pStyle w:val="ListParagraph"/>
        <w:widowControl w:val="0"/>
        <w:numPr>
          <w:ilvl w:val="0"/>
          <w:numId w:val="14"/>
        </w:numPr>
        <w:autoSpaceDE w:val="0"/>
        <w:autoSpaceDN w:val="0"/>
        <w:adjustRightInd w:val="0"/>
        <w:spacing w:after="0"/>
        <w:rPr>
          <w:rFonts w:ascii="Times New Roman" w:hAnsi="Times New Roman" w:cs="AdvPalR"/>
          <w:sz w:val="22"/>
          <w:szCs w:val="18"/>
        </w:rPr>
      </w:pPr>
      <w:r w:rsidRPr="00A30780">
        <w:rPr>
          <w:rFonts w:ascii="Times New Roman" w:hAnsi="Times New Roman" w:cs="AdvPalR"/>
          <w:sz w:val="22"/>
          <w:szCs w:val="18"/>
        </w:rPr>
        <w:t>Recent studies, however, suggest that, even in advanced countries such as Canada,</w:t>
      </w:r>
      <w:r>
        <w:rPr>
          <w:rFonts w:ascii="Times New Roman" w:hAnsi="Times New Roman" w:cs="AdvPalR"/>
          <w:sz w:val="22"/>
          <w:szCs w:val="18"/>
        </w:rPr>
        <w:t xml:space="preserve"> </w:t>
      </w:r>
      <w:r w:rsidRPr="00A30780">
        <w:rPr>
          <w:rFonts w:ascii="Times New Roman" w:hAnsi="Times New Roman" w:cs="AdvPalR"/>
          <w:sz w:val="22"/>
          <w:szCs w:val="18"/>
        </w:rPr>
        <w:t>the level of policy analytical capacity found in many governments and non-governmental</w:t>
      </w:r>
      <w:r>
        <w:rPr>
          <w:rFonts w:ascii="Times New Roman" w:hAnsi="Times New Roman" w:cs="AdvPalR"/>
          <w:sz w:val="22"/>
          <w:szCs w:val="18"/>
        </w:rPr>
        <w:t xml:space="preserve"> </w:t>
      </w:r>
      <w:r w:rsidRPr="00A30780">
        <w:rPr>
          <w:rFonts w:ascii="Times New Roman" w:hAnsi="Times New Roman" w:cs="AdvPalR"/>
          <w:sz w:val="22"/>
          <w:szCs w:val="18"/>
        </w:rPr>
        <w:t>actors is low, potentially contributing to both a failure of evidence-based</w:t>
      </w:r>
      <w:r>
        <w:rPr>
          <w:rFonts w:ascii="Times New Roman" w:hAnsi="Times New Roman" w:cs="AdvPalR"/>
          <w:sz w:val="22"/>
          <w:szCs w:val="18"/>
        </w:rPr>
        <w:t xml:space="preserve"> </w:t>
      </w:r>
      <w:r w:rsidRPr="00A30780">
        <w:rPr>
          <w:rFonts w:ascii="Times New Roman" w:hAnsi="Times New Roman" w:cs="AdvPalR"/>
          <w:sz w:val="22"/>
          <w:szCs w:val="18"/>
        </w:rPr>
        <w:t>policy-making as well as effectively dealing with many complex contemporary</w:t>
      </w:r>
      <w:r>
        <w:rPr>
          <w:rFonts w:ascii="Times New Roman" w:hAnsi="Times New Roman" w:cs="AdvPalR"/>
          <w:sz w:val="22"/>
          <w:szCs w:val="18"/>
        </w:rPr>
        <w:t xml:space="preserve"> </w:t>
      </w:r>
      <w:r w:rsidRPr="00A30780">
        <w:rPr>
          <w:rFonts w:ascii="Times New Roman" w:hAnsi="Times New Roman" w:cs="AdvPalR"/>
          <w:sz w:val="22"/>
          <w:szCs w:val="18"/>
        </w:rPr>
        <w:t>policy challenges</w:t>
      </w:r>
      <w:r>
        <w:rPr>
          <w:rFonts w:ascii="Times New Roman" w:hAnsi="Times New Roman" w:cs="AdvPalR"/>
          <w:sz w:val="22"/>
          <w:szCs w:val="18"/>
        </w:rPr>
        <w:t>:</w:t>
      </w:r>
    </w:p>
    <w:p w:rsidR="00A30780" w:rsidRPr="00A30780" w:rsidRDefault="00A30780" w:rsidP="00A30780">
      <w:pPr>
        <w:pStyle w:val="ListParagraph"/>
        <w:widowControl w:val="0"/>
        <w:numPr>
          <w:ilvl w:val="1"/>
          <w:numId w:val="14"/>
        </w:numPr>
        <w:autoSpaceDE w:val="0"/>
        <w:autoSpaceDN w:val="0"/>
        <w:adjustRightInd w:val="0"/>
        <w:spacing w:after="0"/>
        <w:rPr>
          <w:rFonts w:ascii="Times New Roman" w:hAnsi="Times New Roman" w:cs="AdvPalR"/>
          <w:sz w:val="22"/>
          <w:szCs w:val="18"/>
        </w:rPr>
      </w:pPr>
      <w:r w:rsidRPr="00A30780">
        <w:rPr>
          <w:rFonts w:ascii="Times New Roman" w:hAnsi="Times New Roman" w:cs="AdvPalR"/>
          <w:sz w:val="22"/>
          <w:szCs w:val="18"/>
        </w:rPr>
        <w:t>“</w:t>
      </w:r>
      <w:r w:rsidRPr="00A30780">
        <w:rPr>
          <w:rFonts w:ascii="Times New Roman" w:hAnsi="Times New Roman" w:cs="AdvPalR"/>
          <w:sz w:val="22"/>
          <w:szCs w:val="20"/>
        </w:rPr>
        <w:t>Without prior or at least concurrent efforts to enhance policy analytical capacity, unfortunately, ‘‘failure may be the only option’’ available to governments in their efforts to deal with critical contemporary policy challenges”</w:t>
      </w:r>
    </w:p>
    <w:p w:rsidR="00056A4F" w:rsidRPr="00A30780" w:rsidRDefault="00A30780" w:rsidP="00A30780">
      <w:pPr>
        <w:pStyle w:val="ListParagraph"/>
        <w:widowControl w:val="0"/>
        <w:numPr>
          <w:ilvl w:val="0"/>
          <w:numId w:val="14"/>
        </w:numPr>
        <w:autoSpaceDE w:val="0"/>
        <w:autoSpaceDN w:val="0"/>
        <w:adjustRightInd w:val="0"/>
        <w:spacing w:after="0"/>
        <w:rPr>
          <w:rFonts w:ascii="Times New Roman" w:hAnsi="Times New Roman" w:cs="AdvPalR"/>
          <w:sz w:val="22"/>
          <w:szCs w:val="18"/>
        </w:rPr>
      </w:pPr>
      <w:r>
        <w:rPr>
          <w:rFonts w:ascii="Times New Roman" w:hAnsi="Times New Roman" w:cs="AdvPalR"/>
          <w:sz w:val="22"/>
          <w:szCs w:val="18"/>
        </w:rPr>
        <w:t xml:space="preserve">Find it difficult to believe that somehow policy capacity is weaker today than in the past. </w:t>
      </w:r>
    </w:p>
    <w:p w:rsidR="00F8771E" w:rsidRDefault="00F8771E"/>
    <w:p w:rsidR="00F8771E" w:rsidRDefault="00F8771E" w:rsidP="00F8771E">
      <w:pPr>
        <w:spacing w:after="120"/>
        <w:rPr>
          <w:rFonts w:ascii="Times New Roman" w:hAnsi="Times New Roman"/>
          <w:sz w:val="22"/>
        </w:rPr>
      </w:pPr>
      <w:proofErr w:type="spellStart"/>
      <w:r w:rsidRPr="00F8771E">
        <w:rPr>
          <w:rFonts w:ascii="Times New Roman" w:hAnsi="Times New Roman"/>
          <w:b/>
          <w:sz w:val="22"/>
        </w:rPr>
        <w:t>Zuberi</w:t>
      </w:r>
      <w:proofErr w:type="spellEnd"/>
      <w:r w:rsidRPr="00F8771E">
        <w:rPr>
          <w:rFonts w:ascii="Times New Roman" w:hAnsi="Times New Roman"/>
          <w:b/>
          <w:sz w:val="22"/>
        </w:rPr>
        <w:t xml:space="preserve"> (2006):</w:t>
      </w:r>
      <w:r>
        <w:rPr>
          <w:rFonts w:ascii="Times New Roman" w:hAnsi="Times New Roman"/>
          <w:sz w:val="22"/>
        </w:rPr>
        <w:t xml:space="preserve"> </w:t>
      </w:r>
      <w:r w:rsidRPr="00F8771E">
        <w:rPr>
          <w:rFonts w:ascii="Times New Roman" w:hAnsi="Times New Roman"/>
          <w:sz w:val="22"/>
        </w:rPr>
        <w:t>Differences that Matter: Social Policy and the Working Poor</w:t>
      </w:r>
      <w:r>
        <w:rPr>
          <w:rFonts w:ascii="Times New Roman" w:hAnsi="Times New Roman"/>
          <w:sz w:val="22"/>
        </w:rPr>
        <w:t xml:space="preserve"> in the United States and Canada</w:t>
      </w:r>
    </w:p>
    <w:p w:rsidR="00F8771E" w:rsidRPr="00F8771E" w:rsidRDefault="00F8771E" w:rsidP="00F8771E">
      <w:pPr>
        <w:pStyle w:val="ListParagraph"/>
        <w:numPr>
          <w:ilvl w:val="0"/>
          <w:numId w:val="14"/>
        </w:numPr>
        <w:spacing w:after="120"/>
        <w:rPr>
          <w:rFonts w:ascii="Times New Roman" w:hAnsi="Times New Roman"/>
          <w:sz w:val="22"/>
        </w:rPr>
      </w:pPr>
      <w:r w:rsidRPr="00F8771E">
        <w:rPr>
          <w:rFonts w:ascii="Times New Roman" w:hAnsi="Times New Roman"/>
          <w:sz w:val="22"/>
        </w:rPr>
        <w:t xml:space="preserve">Argues in favour of a sociological understanding of poverty – and the way in which </w:t>
      </w:r>
      <w:r w:rsidRPr="00F8771E">
        <w:rPr>
          <w:rFonts w:ascii="Times New Roman" w:hAnsi="Times New Roman"/>
          <w:i/>
          <w:sz w:val="22"/>
        </w:rPr>
        <w:t xml:space="preserve">institutions shaped individual lives </w:t>
      </w:r>
    </w:p>
    <w:p w:rsidR="00F8771E" w:rsidRDefault="00F8771E" w:rsidP="00F8771E">
      <w:pPr>
        <w:pStyle w:val="ListParagraph"/>
        <w:numPr>
          <w:ilvl w:val="0"/>
          <w:numId w:val="14"/>
        </w:numPr>
        <w:spacing w:after="120"/>
        <w:rPr>
          <w:rFonts w:ascii="Times New Roman" w:hAnsi="Times New Roman"/>
          <w:sz w:val="22"/>
        </w:rPr>
      </w:pPr>
      <w:r>
        <w:rPr>
          <w:rFonts w:ascii="Times New Roman" w:hAnsi="Times New Roman"/>
          <w:sz w:val="22"/>
        </w:rPr>
        <w:t>“Even before an individual’s birth, social policy creates the conditions that either enrich or deteriorate his or her life trajectory”</w:t>
      </w:r>
    </w:p>
    <w:p w:rsidR="00F8771E" w:rsidRPr="00F8771E" w:rsidRDefault="00F8771E" w:rsidP="00F8771E">
      <w:pPr>
        <w:pStyle w:val="ListParagraph"/>
        <w:numPr>
          <w:ilvl w:val="0"/>
          <w:numId w:val="14"/>
        </w:numPr>
        <w:spacing w:after="120"/>
        <w:rPr>
          <w:rFonts w:ascii="Times New Roman" w:hAnsi="Times New Roman"/>
          <w:sz w:val="22"/>
        </w:rPr>
      </w:pPr>
      <w:r>
        <w:rPr>
          <w:rFonts w:ascii="Times New Roman" w:hAnsi="Times New Roman"/>
          <w:sz w:val="22"/>
        </w:rPr>
        <w:t>The sociological understanding of poverty must include a detailed examination of the role of social policy in shaping the socioeconomic hierarchy and the quality of life of low-income workers and their families.</w:t>
      </w:r>
    </w:p>
    <w:p w:rsidR="002C78A7" w:rsidRDefault="002C78A7">
      <w:r>
        <w:t>---</w:t>
      </w:r>
    </w:p>
    <w:p w:rsidR="002C78A7" w:rsidRDefault="002C78A7" w:rsidP="002C78A7">
      <w:pPr>
        <w:spacing w:after="120"/>
        <w:ind w:left="284"/>
        <w:rPr>
          <w:rFonts w:ascii="Times New Roman" w:hAnsi="Times New Roman"/>
          <w:sz w:val="22"/>
        </w:rPr>
      </w:pPr>
      <w:r>
        <w:rPr>
          <w:rFonts w:ascii="Times New Roman" w:hAnsi="Times New Roman"/>
          <w:sz w:val="22"/>
        </w:rPr>
        <w:t xml:space="preserve">Council of the Federation Advisory Panel on Fiscal Imbalance, </w:t>
      </w:r>
      <w:r>
        <w:rPr>
          <w:rFonts w:ascii="Times New Roman" w:hAnsi="Times New Roman"/>
          <w:i/>
          <w:sz w:val="22"/>
        </w:rPr>
        <w:t>Reconciling the Irreconcilable: Addressing Canada’s Fiscal Imbalance</w:t>
      </w:r>
      <w:r>
        <w:rPr>
          <w:rFonts w:ascii="Times New Roman" w:hAnsi="Times New Roman"/>
          <w:sz w:val="22"/>
        </w:rPr>
        <w:t xml:space="preserve"> (Ottawa: The Council, 2006)</w:t>
      </w:r>
    </w:p>
    <w:p w:rsidR="00C259E6" w:rsidRDefault="00C259E6" w:rsidP="00C259E6">
      <w:pPr>
        <w:spacing w:after="120"/>
        <w:ind w:left="284"/>
        <w:rPr>
          <w:rFonts w:ascii="Times New Roman" w:hAnsi="Times New Roman"/>
          <w:sz w:val="22"/>
        </w:rPr>
      </w:pPr>
      <w:r>
        <w:rPr>
          <w:rFonts w:ascii="Times New Roman" w:hAnsi="Times New Roman"/>
          <w:sz w:val="22"/>
        </w:rPr>
        <w:t xml:space="preserve">W.D. Coleman and G. </w:t>
      </w:r>
      <w:proofErr w:type="spellStart"/>
      <w:r>
        <w:rPr>
          <w:rFonts w:ascii="Times New Roman" w:hAnsi="Times New Roman"/>
          <w:sz w:val="22"/>
        </w:rPr>
        <w:t>Skogstad</w:t>
      </w:r>
      <w:proofErr w:type="spellEnd"/>
      <w:r>
        <w:rPr>
          <w:rFonts w:ascii="Times New Roman" w:hAnsi="Times New Roman"/>
          <w:sz w:val="22"/>
        </w:rPr>
        <w:t>, eds</w:t>
      </w:r>
      <w:proofErr w:type="gramStart"/>
      <w:r>
        <w:rPr>
          <w:rFonts w:ascii="Times New Roman" w:hAnsi="Times New Roman"/>
          <w:sz w:val="22"/>
        </w:rPr>
        <w:t>.,</w:t>
      </w:r>
      <w:proofErr w:type="gramEnd"/>
      <w:r>
        <w:rPr>
          <w:rFonts w:ascii="Times New Roman" w:hAnsi="Times New Roman"/>
          <w:sz w:val="22"/>
        </w:rPr>
        <w:t xml:space="preserve"> </w:t>
      </w:r>
      <w:r w:rsidRPr="00903912">
        <w:rPr>
          <w:rFonts w:ascii="Times New Roman" w:hAnsi="Times New Roman"/>
          <w:i/>
          <w:sz w:val="22"/>
        </w:rPr>
        <w:t>Policy Communities and Public Policy</w:t>
      </w:r>
      <w:r>
        <w:rPr>
          <w:rFonts w:ascii="Times New Roman" w:hAnsi="Times New Roman"/>
          <w:sz w:val="22"/>
        </w:rPr>
        <w:t xml:space="preserve"> (Mississauga, 1990)</w:t>
      </w:r>
    </w:p>
    <w:p w:rsidR="00C259E6" w:rsidRDefault="00C259E6" w:rsidP="00C259E6">
      <w:pPr>
        <w:spacing w:after="120"/>
        <w:ind w:left="284"/>
        <w:rPr>
          <w:rFonts w:ascii="Times New Roman" w:hAnsi="Times New Roman"/>
          <w:sz w:val="22"/>
        </w:rPr>
      </w:pPr>
      <w:r>
        <w:rPr>
          <w:rFonts w:ascii="Times New Roman" w:hAnsi="Times New Roman"/>
          <w:sz w:val="22"/>
        </w:rPr>
        <w:t xml:space="preserve">T. Lewis, </w:t>
      </w:r>
      <w:r>
        <w:rPr>
          <w:rFonts w:ascii="Times New Roman" w:hAnsi="Times New Roman"/>
          <w:i/>
          <w:sz w:val="22"/>
        </w:rPr>
        <w:t>In the Long Run We’re All Dead: The Canadian Turn to Fiscal Restraint</w:t>
      </w:r>
      <w:r>
        <w:rPr>
          <w:rFonts w:ascii="Times New Roman" w:hAnsi="Times New Roman"/>
          <w:sz w:val="22"/>
        </w:rPr>
        <w:t xml:space="preserve"> (Vancouver UBC Press, 2003)</w:t>
      </w:r>
    </w:p>
    <w:p w:rsidR="00A30780" w:rsidRDefault="00C259E6" w:rsidP="00A30780">
      <w:pPr>
        <w:spacing w:after="120"/>
        <w:ind w:left="284"/>
        <w:rPr>
          <w:rFonts w:ascii="Times New Roman" w:hAnsi="Times New Roman"/>
          <w:sz w:val="22"/>
        </w:rPr>
      </w:pPr>
      <w:r>
        <w:rPr>
          <w:rFonts w:ascii="Times New Roman" w:hAnsi="Times New Roman"/>
          <w:sz w:val="22"/>
        </w:rPr>
        <w:t xml:space="preserve">A.M. Timpson, </w:t>
      </w:r>
      <w:r>
        <w:rPr>
          <w:rFonts w:ascii="Times New Roman" w:hAnsi="Times New Roman"/>
          <w:i/>
          <w:sz w:val="22"/>
        </w:rPr>
        <w:t xml:space="preserve">Driven Apart: Women’s Employment Equality and Child Care in Canadian Public Policy </w:t>
      </w:r>
      <w:r>
        <w:rPr>
          <w:rFonts w:ascii="Times New Roman" w:hAnsi="Times New Roman"/>
          <w:sz w:val="22"/>
        </w:rPr>
        <w:t>(Toronto, 2001)</w:t>
      </w:r>
    </w:p>
    <w:p w:rsidR="00056A4F" w:rsidRDefault="00056A4F"/>
    <w:sectPr w:rsidR="00056A4F" w:rsidSect="00056A4F">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AdvPal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4E716D"/>
    <w:multiLevelType w:val="hybridMultilevel"/>
    <w:tmpl w:val="74742490"/>
    <w:lvl w:ilvl="0" w:tplc="F664FDEE">
      <w:start w:val="18"/>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AD1E6D"/>
    <w:multiLevelType w:val="hybridMultilevel"/>
    <w:tmpl w:val="E20477CE"/>
    <w:lvl w:ilvl="0" w:tplc="2CFC16C0">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429E8"/>
    <w:multiLevelType w:val="hybridMultilevel"/>
    <w:tmpl w:val="D2AE0530"/>
    <w:lvl w:ilvl="0" w:tplc="C89805EA">
      <w:numFmt w:val="bullet"/>
      <w:lvlText w:val="-"/>
      <w:lvlJc w:val="left"/>
      <w:pPr>
        <w:ind w:left="360" w:hanging="360"/>
      </w:pPr>
      <w:rPr>
        <w:rFonts w:ascii="Times New Roman" w:eastAsiaTheme="minorHAnsi" w:hAnsi="Times New Roman"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BAA29F7"/>
    <w:multiLevelType w:val="hybridMultilevel"/>
    <w:tmpl w:val="4DBE0350"/>
    <w:lvl w:ilvl="0" w:tplc="C89805EA">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893632"/>
    <w:multiLevelType w:val="hybridMultilevel"/>
    <w:tmpl w:val="E20477CE"/>
    <w:lvl w:ilvl="0" w:tplc="2CFC16C0">
      <w:start w:val="2"/>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24AD2"/>
    <w:multiLevelType w:val="hybridMultilevel"/>
    <w:tmpl w:val="5178EBD4"/>
    <w:lvl w:ilvl="0" w:tplc="F664FDEE">
      <w:start w:val="18"/>
      <w:numFmt w:val="bullet"/>
      <w:lvlText w:val="-"/>
      <w:lvlJc w:val="left"/>
      <w:pPr>
        <w:ind w:left="720" w:hanging="360"/>
      </w:pPr>
      <w:rPr>
        <w:rFonts w:ascii="Times New Roman" w:eastAsia="ヒラギノ角ゴ Pro W3"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686EA6"/>
    <w:multiLevelType w:val="hybridMultilevel"/>
    <w:tmpl w:val="3EEEB79A"/>
    <w:lvl w:ilvl="0" w:tplc="C89805EA">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253EFF"/>
    <w:multiLevelType w:val="hybridMultilevel"/>
    <w:tmpl w:val="EDC2AF94"/>
    <w:lvl w:ilvl="0" w:tplc="2CFC16C0">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F54FC6"/>
    <w:multiLevelType w:val="hybridMultilevel"/>
    <w:tmpl w:val="38B615D8"/>
    <w:lvl w:ilvl="0" w:tplc="C89805EA">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F86CA7"/>
    <w:multiLevelType w:val="hybridMultilevel"/>
    <w:tmpl w:val="D6A40AC8"/>
    <w:lvl w:ilvl="0" w:tplc="C89805EA">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200BC6"/>
    <w:multiLevelType w:val="hybridMultilevel"/>
    <w:tmpl w:val="64408688"/>
    <w:lvl w:ilvl="0" w:tplc="C89805EA">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2D2FE3"/>
    <w:multiLevelType w:val="hybridMultilevel"/>
    <w:tmpl w:val="B9F0B02A"/>
    <w:lvl w:ilvl="0" w:tplc="C89805EA">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805A06"/>
    <w:multiLevelType w:val="hybridMultilevel"/>
    <w:tmpl w:val="D1BEE706"/>
    <w:lvl w:ilvl="0" w:tplc="C89805EA">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98691E"/>
    <w:multiLevelType w:val="hybridMultilevel"/>
    <w:tmpl w:val="EA5C5BE8"/>
    <w:lvl w:ilvl="0" w:tplc="F664FDEE">
      <w:numFmt w:val="bullet"/>
      <w:lvlText w:val="-"/>
      <w:lvlJc w:val="left"/>
      <w:pPr>
        <w:ind w:left="720" w:hanging="360"/>
      </w:pPr>
      <w:rPr>
        <w:rFonts w:ascii="Times New Roman" w:eastAsia="ヒラギノ角ゴ Pro W3"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6"/>
  </w:num>
  <w:num w:numId="4">
    <w:abstractNumId w:val="12"/>
  </w:num>
  <w:num w:numId="5">
    <w:abstractNumId w:val="0"/>
  </w:num>
  <w:num w:numId="6">
    <w:abstractNumId w:val="1"/>
  </w:num>
  <w:num w:numId="7">
    <w:abstractNumId w:val="11"/>
  </w:num>
  <w:num w:numId="8">
    <w:abstractNumId w:val="14"/>
  </w:num>
  <w:num w:numId="9">
    <w:abstractNumId w:val="5"/>
  </w:num>
  <w:num w:numId="10">
    <w:abstractNumId w:val="8"/>
  </w:num>
  <w:num w:numId="11">
    <w:abstractNumId w:val="3"/>
  </w:num>
  <w:num w:numId="12">
    <w:abstractNumId w:val="16"/>
  </w:num>
  <w:num w:numId="13">
    <w:abstractNumId w:val="2"/>
  </w:num>
  <w:num w:numId="14">
    <w:abstractNumId w:val="15"/>
  </w:num>
  <w:num w:numId="15">
    <w:abstractNumId w:val="9"/>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6A4F"/>
    <w:rsid w:val="00056A4F"/>
    <w:rsid w:val="000F05BD"/>
    <w:rsid w:val="00265125"/>
    <w:rsid w:val="002C78A7"/>
    <w:rsid w:val="003E5178"/>
    <w:rsid w:val="00405088"/>
    <w:rsid w:val="005051A0"/>
    <w:rsid w:val="00511850"/>
    <w:rsid w:val="005764E7"/>
    <w:rsid w:val="007E6D07"/>
    <w:rsid w:val="008E56D0"/>
    <w:rsid w:val="00906E53"/>
    <w:rsid w:val="00A30780"/>
    <w:rsid w:val="00C259E6"/>
    <w:rsid w:val="00C46C4B"/>
    <w:rsid w:val="00CF0240"/>
    <w:rsid w:val="00D247E2"/>
    <w:rsid w:val="00F8771E"/>
    <w:rsid w:val="00FB009A"/>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56A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56A4F"/>
    <w:pPr>
      <w:ind w:left="720"/>
      <w:contextualSpacing/>
    </w:pPr>
  </w:style>
  <w:style w:type="paragraph" w:customStyle="1" w:styleId="FreeForm">
    <w:name w:val="Free Form"/>
    <w:rsid w:val="00906E53"/>
    <w:pPr>
      <w:spacing w:after="0"/>
    </w:pPr>
    <w:rPr>
      <w:rFonts w:ascii="Helvetica" w:eastAsia="ヒラギノ角ゴ Pro W3" w:hAnsi="Helvetica" w:cs="Times New Roman"/>
      <w:color w:val="000000"/>
      <w:szCs w:val="20"/>
    </w:rPr>
  </w:style>
  <w:style w:type="numbering" w:customStyle="1" w:styleId="Bullet">
    <w:name w:val="Bullet"/>
    <w:rsid w:val="00906E53"/>
  </w:style>
  <w:style w:type="numbering" w:customStyle="1" w:styleId="Legal">
    <w:name w:val="Legal"/>
    <w:rsid w:val="00CF024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2579</Words>
  <Characters>14705</Characters>
  <Application>Microsoft Macintosh Word</Application>
  <DocSecurity>0</DocSecurity>
  <Lines>122</Lines>
  <Paragraphs>29</Paragraphs>
  <ScaleCrop>false</ScaleCrop>
  <LinksUpToDate>false</LinksUpToDate>
  <CharactersWithSpaces>18058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5</cp:revision>
  <dcterms:created xsi:type="dcterms:W3CDTF">2012-05-17T01:36:00Z</dcterms:created>
  <dcterms:modified xsi:type="dcterms:W3CDTF">2012-05-18T01:18:00Z</dcterms:modified>
</cp:coreProperties>
</file>